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15" w:type="dxa"/>
        <w:tblBorders>
          <w:top w:val="single" w:sz="4" w:space="0" w:color="auto"/>
          <w:bottom w:val="single" w:sz="4" w:space="0" w:color="auto"/>
          <w:insideH w:val="single" w:sz="4" w:space="0" w:color="auto"/>
        </w:tblBorders>
        <w:tblLayout w:type="fixed"/>
        <w:tblCellMar>
          <w:left w:w="0" w:type="dxa"/>
          <w:right w:w="0" w:type="dxa"/>
        </w:tblCellMar>
        <w:tblLook w:val="00A0" w:firstRow="1" w:lastRow="0" w:firstColumn="1" w:lastColumn="0" w:noHBand="0" w:noVBand="0"/>
      </w:tblPr>
      <w:tblGrid>
        <w:gridCol w:w="2909"/>
        <w:gridCol w:w="4666"/>
        <w:gridCol w:w="705"/>
        <w:gridCol w:w="15"/>
        <w:gridCol w:w="18"/>
        <w:gridCol w:w="1787"/>
        <w:gridCol w:w="15"/>
      </w:tblGrid>
      <w:tr w:rsidR="007950E3" w:rsidRPr="007950E3" w14:paraId="2C1A8BA1" w14:textId="77777777" w:rsidTr="0091641C">
        <w:trPr>
          <w:tblHeader/>
        </w:trPr>
        <w:tc>
          <w:tcPr>
            <w:tcW w:w="10115" w:type="dxa"/>
            <w:gridSpan w:val="7"/>
            <w:tcBorders>
              <w:top w:val="double" w:sz="4" w:space="0" w:color="auto"/>
              <w:bottom w:val="double" w:sz="4" w:space="0" w:color="auto"/>
            </w:tcBorders>
            <w:shd w:val="clear" w:color="auto" w:fill="E0E0E0"/>
            <w:noWrap/>
            <w:tcMar>
              <w:top w:w="15" w:type="dxa"/>
              <w:left w:w="15" w:type="dxa"/>
              <w:bottom w:w="0" w:type="dxa"/>
              <w:right w:w="15" w:type="dxa"/>
            </w:tcMar>
          </w:tcPr>
          <w:p w14:paraId="7A5A0CEE" w14:textId="3A9B76A9" w:rsidR="008F5C18" w:rsidRDefault="00453826" w:rsidP="008F5C18">
            <w:pPr>
              <w:pStyle w:val="Heading2"/>
            </w:pPr>
            <w:r>
              <w:t>Project Initiation</w:t>
            </w:r>
          </w:p>
          <w:p w14:paraId="2C1A8BA0" w14:textId="5A202069" w:rsidR="008F5C18" w:rsidRPr="008F5C18" w:rsidRDefault="00A8697D" w:rsidP="00A8697D">
            <w:pPr>
              <w:pStyle w:val="Heading2"/>
            </w:pPr>
            <w:r>
              <w:t xml:space="preserve">This Section must be Completed </w:t>
            </w:r>
            <w:r w:rsidR="008F5C18">
              <w:t>Prior to Project Dataset(s) Creation</w:t>
            </w:r>
          </w:p>
        </w:tc>
      </w:tr>
      <w:tr w:rsidR="00BA67E7" w14:paraId="2C1A8BA4" w14:textId="77777777" w:rsidTr="000D7F8F">
        <w:tc>
          <w:tcPr>
            <w:tcW w:w="2909" w:type="dxa"/>
            <w:tcBorders>
              <w:top w:val="double" w:sz="4" w:space="0" w:color="auto"/>
              <w:bottom w:val="single" w:sz="4" w:space="0" w:color="999999"/>
              <w:right w:val="single" w:sz="4" w:space="0" w:color="A6A6A6" w:themeColor="background1" w:themeShade="A6"/>
            </w:tcBorders>
            <w:noWrap/>
            <w:tcMar>
              <w:top w:w="15" w:type="dxa"/>
              <w:left w:w="15" w:type="dxa"/>
              <w:bottom w:w="0" w:type="dxa"/>
              <w:right w:w="15" w:type="dxa"/>
            </w:tcMar>
          </w:tcPr>
          <w:p w14:paraId="2C1A8BA2" w14:textId="294E2D48" w:rsidR="00BA67E7" w:rsidRPr="00744AC7" w:rsidRDefault="00D86C87" w:rsidP="009E5A89">
            <w:pPr>
              <w:spacing w:before="60"/>
              <w:rPr>
                <w:b/>
              </w:rPr>
            </w:pPr>
            <w:r w:rsidRPr="00744AC7">
              <w:rPr>
                <w:b/>
              </w:rPr>
              <w:t xml:space="preserve">Project </w:t>
            </w:r>
            <w:r w:rsidR="004701A1">
              <w:rPr>
                <w:b/>
              </w:rPr>
              <w:t>Title</w:t>
            </w:r>
            <w:r w:rsidR="00FE4D4C" w:rsidRPr="00744AC7">
              <w:rPr>
                <w:b/>
              </w:rPr>
              <w:t>:</w:t>
            </w:r>
          </w:p>
        </w:tc>
        <w:tc>
          <w:tcPr>
            <w:tcW w:w="7206" w:type="dxa"/>
            <w:gridSpan w:val="6"/>
            <w:tcBorders>
              <w:top w:val="double" w:sz="4" w:space="0" w:color="auto"/>
              <w:left w:val="single" w:sz="4" w:space="0" w:color="A6A6A6" w:themeColor="background1" w:themeShade="A6"/>
              <w:bottom w:val="single" w:sz="4" w:space="0" w:color="999999"/>
            </w:tcBorders>
          </w:tcPr>
          <w:p w14:paraId="2C1A8BA3" w14:textId="5420335F" w:rsidR="000F50F3" w:rsidRPr="00670146" w:rsidRDefault="008337E1" w:rsidP="008337E1">
            <w:pPr>
              <w:rPr>
                <w:bCs/>
              </w:rPr>
            </w:pPr>
            <w:r w:rsidRPr="00670146">
              <w:rPr>
                <w:bCs/>
                <w:sz w:val="22"/>
                <w:szCs w:val="22"/>
              </w:rPr>
              <w:t>The Burden of Hypoparathyroidism in Ontario: A Retrospective Cohort Study Using Real World Evidence</w:t>
            </w:r>
          </w:p>
        </w:tc>
      </w:tr>
      <w:tr w:rsidR="004701A1" w14:paraId="4E2FD321" w14:textId="77777777" w:rsidTr="000D7F8F">
        <w:tc>
          <w:tcPr>
            <w:tcW w:w="2909" w:type="dxa"/>
            <w:tcBorders>
              <w:top w:val="single" w:sz="4" w:space="0" w:color="999999"/>
              <w:bottom w:val="single" w:sz="4" w:space="0" w:color="999999"/>
              <w:right w:val="single" w:sz="4" w:space="0" w:color="A6A6A6" w:themeColor="background1" w:themeShade="A6"/>
            </w:tcBorders>
            <w:noWrap/>
            <w:tcMar>
              <w:top w:w="15" w:type="dxa"/>
              <w:left w:w="15" w:type="dxa"/>
              <w:bottom w:w="0" w:type="dxa"/>
              <w:right w:w="15" w:type="dxa"/>
            </w:tcMar>
          </w:tcPr>
          <w:p w14:paraId="45817C7C" w14:textId="1BC37767" w:rsidR="004701A1" w:rsidRDefault="004701A1" w:rsidP="009E5A89">
            <w:pPr>
              <w:spacing w:before="60"/>
              <w:rPr>
                <w:b/>
              </w:rPr>
            </w:pPr>
            <w:r>
              <w:rPr>
                <w:b/>
              </w:rPr>
              <w:t>Project TRIM number:</w:t>
            </w:r>
          </w:p>
        </w:tc>
        <w:tc>
          <w:tcPr>
            <w:tcW w:w="7206" w:type="dxa"/>
            <w:gridSpan w:val="6"/>
            <w:tcBorders>
              <w:top w:val="single" w:sz="4" w:space="0" w:color="999999"/>
              <w:left w:val="single" w:sz="4" w:space="0" w:color="A6A6A6" w:themeColor="background1" w:themeShade="A6"/>
              <w:bottom w:val="single" w:sz="4" w:space="0" w:color="999999"/>
            </w:tcBorders>
          </w:tcPr>
          <w:p w14:paraId="13917485" w14:textId="0F2F80EC" w:rsidR="004701A1" w:rsidRPr="00D516C3" w:rsidRDefault="00D7189C" w:rsidP="009E5A89">
            <w:pPr>
              <w:spacing w:before="60"/>
            </w:pPr>
            <w:r>
              <w:t>2017 0970 081 000</w:t>
            </w:r>
          </w:p>
        </w:tc>
      </w:tr>
      <w:tr w:rsidR="0000584A" w14:paraId="58D0BB87" w14:textId="77777777" w:rsidTr="000D7F8F">
        <w:tc>
          <w:tcPr>
            <w:tcW w:w="2909" w:type="dxa"/>
            <w:tcBorders>
              <w:top w:val="single" w:sz="4" w:space="0" w:color="999999"/>
              <w:bottom w:val="single" w:sz="4" w:space="0" w:color="999999"/>
              <w:right w:val="single" w:sz="4" w:space="0" w:color="A6A6A6" w:themeColor="background1" w:themeShade="A6"/>
            </w:tcBorders>
            <w:noWrap/>
            <w:tcMar>
              <w:top w:w="15" w:type="dxa"/>
              <w:left w:w="15" w:type="dxa"/>
              <w:bottom w:w="0" w:type="dxa"/>
              <w:right w:w="15" w:type="dxa"/>
            </w:tcMar>
          </w:tcPr>
          <w:p w14:paraId="5DC4F43F" w14:textId="77777777" w:rsidR="0000584A" w:rsidRDefault="0000584A" w:rsidP="000B3B18">
            <w:pPr>
              <w:spacing w:before="60"/>
              <w:rPr>
                <w:b/>
              </w:rPr>
            </w:pPr>
            <w:r>
              <w:rPr>
                <w:b/>
              </w:rPr>
              <w:t>Research Program:</w:t>
            </w:r>
          </w:p>
        </w:tc>
        <w:sdt>
          <w:sdtPr>
            <w:alias w:val="Research Program"/>
            <w:tag w:val="Research Program"/>
            <w:id w:val="1040556993"/>
            <w:placeholder>
              <w:docPart w:val="AB7543AB86A64EAFADA69880A543FDD4"/>
            </w:placeholder>
            <w:dropDownList>
              <w:listItem w:displayText="Cancer" w:value="Cancer"/>
              <w:listItem w:displayText="Cardiovascular" w:value="Cardiovascular"/>
              <w:listItem w:displayText="CDP" w:value="CDP"/>
              <w:listItem w:displayText="KDT" w:value="KDT"/>
              <w:listItem w:displayText="Life" w:value="Life"/>
              <w:listItem w:displayText="MHA" w:value="MHA"/>
              <w:listItem w:displayText="PCHS" w:value="PCHS"/>
              <w:listItem w:displayText="POP" w:value="POP"/>
              <w:listItem w:displayText="DAS" w:value="DAS"/>
              <w:listItem w:displayText="HSPE(project approved prior to May 1, 2019)" w:value="HSPE(project approved prior to May 1, 2019)"/>
              <w:listItem w:displayText="PCPH(project approved prior to May 1, 2019)" w:value="PCPH(project approved prior to May 1, 2019)"/>
            </w:dropDownList>
          </w:sdtPr>
          <w:sdtEndPr/>
          <w:sdtContent>
            <w:tc>
              <w:tcPr>
                <w:tcW w:w="7206" w:type="dxa"/>
                <w:gridSpan w:val="6"/>
                <w:tcBorders>
                  <w:top w:val="single" w:sz="4" w:space="0" w:color="999999"/>
                  <w:left w:val="single" w:sz="4" w:space="0" w:color="A6A6A6" w:themeColor="background1" w:themeShade="A6"/>
                  <w:bottom w:val="single" w:sz="4" w:space="0" w:color="999999"/>
                </w:tcBorders>
              </w:tcPr>
              <w:p w14:paraId="67DB080D" w14:textId="447078C9" w:rsidR="0000584A" w:rsidRPr="00D516C3" w:rsidRDefault="00202697" w:rsidP="00F10B47">
                <w:pPr>
                  <w:tabs>
                    <w:tab w:val="left" w:pos="1240"/>
                  </w:tabs>
                  <w:spacing w:before="60"/>
                </w:pPr>
                <w:r>
                  <w:t>DAS</w:t>
                </w:r>
              </w:p>
            </w:tc>
          </w:sdtContent>
        </w:sdt>
      </w:tr>
      <w:tr w:rsidR="003F4843" w14:paraId="3D3B9BDD" w14:textId="77777777" w:rsidTr="00CE57D3">
        <w:tc>
          <w:tcPr>
            <w:tcW w:w="2909" w:type="dxa"/>
            <w:tcBorders>
              <w:top w:val="single" w:sz="4" w:space="0" w:color="999999"/>
              <w:bottom w:val="single" w:sz="4" w:space="0" w:color="999999"/>
              <w:right w:val="single" w:sz="4" w:space="0" w:color="A6A6A6" w:themeColor="background1" w:themeShade="A6"/>
            </w:tcBorders>
            <w:noWrap/>
            <w:tcMar>
              <w:top w:w="15" w:type="dxa"/>
              <w:left w:w="15" w:type="dxa"/>
              <w:bottom w:w="0" w:type="dxa"/>
              <w:right w:w="15" w:type="dxa"/>
            </w:tcMar>
          </w:tcPr>
          <w:p w14:paraId="12E3BC61" w14:textId="4BB6A6C3" w:rsidR="003F4843" w:rsidRDefault="003F4843" w:rsidP="00CE57D3">
            <w:pPr>
              <w:spacing w:before="60"/>
              <w:rPr>
                <w:b/>
              </w:rPr>
            </w:pPr>
            <w:r>
              <w:rPr>
                <w:b/>
              </w:rPr>
              <w:t>Site:</w:t>
            </w:r>
          </w:p>
        </w:tc>
        <w:sdt>
          <w:sdtPr>
            <w:alias w:val="Site"/>
            <w:tag w:val="Site"/>
            <w:id w:val="-1954005530"/>
            <w:placeholder>
              <w:docPart w:val="64EFC1B58AFD4F8E9F1076B6B605A247"/>
            </w:placeholder>
            <w:dropDownList>
              <w:listItem w:displayText="ICES Central" w:value="ICES Central"/>
              <w:listItem w:displayText="ICES uOttawa" w:value="ICES uOttawa"/>
              <w:listItem w:displayText="ICES Queens" w:value="ICES Queens"/>
              <w:listItem w:displayText="ICES UofT" w:value="ICES UofT"/>
              <w:listItem w:displayText="ICES Western" w:value="ICES Western"/>
              <w:listItem w:displayText="ICES McMaster" w:value="ICES McMaster"/>
              <w:listItem w:displayText="ICES North" w:value="ICES North"/>
            </w:dropDownList>
          </w:sdtPr>
          <w:sdtEndPr/>
          <w:sdtContent>
            <w:tc>
              <w:tcPr>
                <w:tcW w:w="7206" w:type="dxa"/>
                <w:gridSpan w:val="6"/>
                <w:tcBorders>
                  <w:top w:val="single" w:sz="4" w:space="0" w:color="999999"/>
                  <w:left w:val="single" w:sz="4" w:space="0" w:color="A6A6A6" w:themeColor="background1" w:themeShade="A6"/>
                  <w:bottom w:val="single" w:sz="4" w:space="0" w:color="999999"/>
                </w:tcBorders>
              </w:tcPr>
              <w:p w14:paraId="45BEA137" w14:textId="26A2C38E" w:rsidR="003F4843" w:rsidRPr="00D516C3" w:rsidRDefault="00202697" w:rsidP="00CE57D3">
                <w:pPr>
                  <w:spacing w:before="60"/>
                </w:pPr>
                <w:r>
                  <w:t>ICES Central</w:t>
                </w:r>
              </w:p>
            </w:tc>
          </w:sdtContent>
        </w:sdt>
      </w:tr>
      <w:tr w:rsidR="00375D1D" w14:paraId="2C1A8BA7" w14:textId="77777777" w:rsidTr="000D7F8F">
        <w:trPr>
          <w:trHeight w:val="128"/>
        </w:trPr>
        <w:tc>
          <w:tcPr>
            <w:tcW w:w="2909" w:type="dxa"/>
            <w:vMerge w:val="restart"/>
            <w:tcBorders>
              <w:top w:val="single" w:sz="4" w:space="0" w:color="999999"/>
              <w:right w:val="single" w:sz="4" w:space="0" w:color="A6A6A6" w:themeColor="background1" w:themeShade="A6"/>
            </w:tcBorders>
            <w:noWrap/>
            <w:tcMar>
              <w:top w:w="15" w:type="dxa"/>
              <w:left w:w="15" w:type="dxa"/>
              <w:bottom w:w="0" w:type="dxa"/>
              <w:right w:w="15" w:type="dxa"/>
            </w:tcMar>
          </w:tcPr>
          <w:p w14:paraId="2C1A8BA5" w14:textId="5F853066" w:rsidR="00375D1D" w:rsidRPr="00744AC7" w:rsidRDefault="00375D1D" w:rsidP="009E5A89">
            <w:pPr>
              <w:spacing w:before="60"/>
              <w:rPr>
                <w:b/>
              </w:rPr>
            </w:pPr>
            <w:r>
              <w:rPr>
                <w:b/>
              </w:rPr>
              <w:t>Project</w:t>
            </w:r>
            <w:r w:rsidR="008E24EB">
              <w:rPr>
                <w:b/>
              </w:rPr>
              <w:t xml:space="preserve"> Purpose and</w:t>
            </w:r>
            <w:r>
              <w:rPr>
                <w:b/>
              </w:rPr>
              <w:t xml:space="preserve"> Objectives:</w:t>
            </w:r>
          </w:p>
        </w:tc>
        <w:tc>
          <w:tcPr>
            <w:tcW w:w="7206" w:type="dxa"/>
            <w:gridSpan w:val="6"/>
            <w:tcBorders>
              <w:top w:val="single" w:sz="4" w:space="0" w:color="999999"/>
              <w:left w:val="single" w:sz="4" w:space="0" w:color="A6A6A6" w:themeColor="background1" w:themeShade="A6"/>
              <w:bottom w:val="single" w:sz="4" w:space="0" w:color="999999"/>
            </w:tcBorders>
            <w:shd w:val="pct15" w:color="auto" w:fill="auto"/>
          </w:tcPr>
          <w:p w14:paraId="2C1A8BA6" w14:textId="0EB0D775" w:rsidR="00375D1D" w:rsidRPr="004701A1" w:rsidRDefault="00375D1D" w:rsidP="009E5A89">
            <w:pPr>
              <w:spacing w:before="60"/>
              <w:rPr>
                <w:i/>
                <w:color w:val="548DD4" w:themeColor="text2" w:themeTint="99"/>
              </w:rPr>
            </w:pPr>
            <w:r w:rsidRPr="001433F4">
              <w:rPr>
                <w:i/>
                <w:color w:val="365F91" w:themeColor="accent1" w:themeShade="BF"/>
                <w:sz w:val="16"/>
              </w:rPr>
              <w:t>Insert Project</w:t>
            </w:r>
            <w:r w:rsidR="00AD3DE5">
              <w:rPr>
                <w:i/>
                <w:color w:val="365F91" w:themeColor="accent1" w:themeShade="BF"/>
                <w:sz w:val="16"/>
              </w:rPr>
              <w:t xml:space="preserve"> Purpose and</w:t>
            </w:r>
            <w:r w:rsidRPr="001433F4">
              <w:rPr>
                <w:i/>
                <w:color w:val="365F91" w:themeColor="accent1" w:themeShade="BF"/>
                <w:sz w:val="16"/>
              </w:rPr>
              <w:t xml:space="preserve"> Objectives as listed in the approved</w:t>
            </w:r>
            <w:r w:rsidR="00951A8E">
              <w:rPr>
                <w:i/>
                <w:color w:val="365F91" w:themeColor="accent1" w:themeShade="BF"/>
                <w:sz w:val="16"/>
              </w:rPr>
              <w:t xml:space="preserve"> ICES Project</w:t>
            </w:r>
            <w:r w:rsidRPr="001433F4">
              <w:rPr>
                <w:i/>
                <w:color w:val="365F91" w:themeColor="accent1" w:themeShade="BF"/>
                <w:sz w:val="16"/>
              </w:rPr>
              <w:t xml:space="preserve"> PIA</w:t>
            </w:r>
          </w:p>
        </w:tc>
      </w:tr>
      <w:tr w:rsidR="00375D1D" w14:paraId="1B2AFE28" w14:textId="77777777" w:rsidTr="000D7F8F">
        <w:trPr>
          <w:trHeight w:val="133"/>
        </w:trPr>
        <w:tc>
          <w:tcPr>
            <w:tcW w:w="2909" w:type="dxa"/>
            <w:vMerge/>
            <w:tcBorders>
              <w:bottom w:val="single" w:sz="4" w:space="0" w:color="999999"/>
              <w:right w:val="single" w:sz="4" w:space="0" w:color="A6A6A6" w:themeColor="background1" w:themeShade="A6"/>
            </w:tcBorders>
            <w:noWrap/>
            <w:tcMar>
              <w:top w:w="15" w:type="dxa"/>
              <w:left w:w="15" w:type="dxa"/>
              <w:bottom w:w="0" w:type="dxa"/>
              <w:right w:w="15" w:type="dxa"/>
            </w:tcMar>
          </w:tcPr>
          <w:p w14:paraId="333626D3" w14:textId="77777777" w:rsidR="00375D1D" w:rsidRDefault="00375D1D" w:rsidP="009E5A89">
            <w:pPr>
              <w:spacing w:before="60"/>
              <w:rPr>
                <w:b/>
              </w:rPr>
            </w:pPr>
          </w:p>
        </w:tc>
        <w:tc>
          <w:tcPr>
            <w:tcW w:w="7206" w:type="dxa"/>
            <w:gridSpan w:val="6"/>
            <w:tcBorders>
              <w:top w:val="single" w:sz="4" w:space="0" w:color="999999"/>
              <w:left w:val="single" w:sz="4" w:space="0" w:color="A6A6A6" w:themeColor="background1" w:themeShade="A6"/>
              <w:bottom w:val="single" w:sz="4" w:space="0" w:color="999999"/>
            </w:tcBorders>
          </w:tcPr>
          <w:p w14:paraId="47E84EE5" w14:textId="7213C427" w:rsidR="00202697" w:rsidRDefault="00202697" w:rsidP="00202697">
            <w:pPr>
              <w:pStyle w:val="BodyText"/>
              <w:rPr>
                <w:lang w:eastAsia="en-GB"/>
              </w:rPr>
            </w:pPr>
            <w:r>
              <w:rPr>
                <w:lang w:val="en-GB"/>
              </w:rPr>
              <w:t xml:space="preserve">There are three objectives in this study. Objective 1 will be presented for </w:t>
            </w:r>
            <w:r>
              <w:rPr>
                <w:lang w:val="en-GB" w:eastAsia="en-GB"/>
              </w:rPr>
              <w:t xml:space="preserve">adult and paediatric </w:t>
            </w:r>
            <w:r w:rsidRPr="005C3109">
              <w:rPr>
                <w:lang w:val="en-GB" w:eastAsia="en-GB"/>
              </w:rPr>
              <w:t>patients</w:t>
            </w:r>
            <w:r>
              <w:rPr>
                <w:lang w:eastAsia="en-GB"/>
              </w:rPr>
              <w:t>. Objectives 2 and 3 will be presented for adult patients only.</w:t>
            </w:r>
          </w:p>
          <w:p w14:paraId="699F0534" w14:textId="4B31D614" w:rsidR="00126F0E" w:rsidRDefault="00126F0E" w:rsidP="00126F0E">
            <w:pPr>
              <w:pStyle w:val="BodyText"/>
              <w:rPr>
                <w:lang w:val="en-GB" w:eastAsia="en-GB"/>
              </w:rPr>
            </w:pPr>
          </w:p>
          <w:p w14:paraId="4B21A1B8" w14:textId="0C216794" w:rsidR="00126F0E" w:rsidRDefault="00126F0E" w:rsidP="009E5DB6">
            <w:pPr>
              <w:pStyle w:val="BodyText"/>
              <w:numPr>
                <w:ilvl w:val="0"/>
                <w:numId w:val="5"/>
              </w:numPr>
              <w:ind w:left="360"/>
              <w:rPr>
                <w:lang w:val="en-GB" w:eastAsia="en-GB"/>
              </w:rPr>
            </w:pPr>
            <w:r>
              <w:rPr>
                <w:lang w:val="en-GB" w:eastAsia="en-GB"/>
              </w:rPr>
              <w:t>D</w:t>
            </w:r>
            <w:r w:rsidRPr="00126F0E">
              <w:rPr>
                <w:lang w:val="en-GB" w:eastAsia="en-GB"/>
              </w:rPr>
              <w:t>escribe the demographic and clinical characteristics</w:t>
            </w:r>
            <w:r>
              <w:rPr>
                <w:lang w:val="en-GB" w:eastAsia="en-GB"/>
              </w:rPr>
              <w:t xml:space="preserve"> for the following cohorts:</w:t>
            </w:r>
          </w:p>
          <w:p w14:paraId="1FAAB5F6" w14:textId="310DBEB1" w:rsidR="00126F0E" w:rsidRDefault="00126F0E" w:rsidP="009E5DB6">
            <w:pPr>
              <w:pStyle w:val="BodyText"/>
              <w:numPr>
                <w:ilvl w:val="0"/>
                <w:numId w:val="21"/>
              </w:numPr>
              <w:spacing w:line="300" w:lineRule="exact"/>
              <w:ind w:left="720"/>
              <w:rPr>
                <w:lang w:val="en-GB"/>
              </w:rPr>
            </w:pPr>
            <w:proofErr w:type="spellStart"/>
            <w:r>
              <w:rPr>
                <w:lang w:val="en-GB"/>
              </w:rPr>
              <w:t>P</w:t>
            </w:r>
            <w:r w:rsidRPr="005C3109">
              <w:rPr>
                <w:lang w:val="en-GB"/>
              </w:rPr>
              <w:t>ediatric</w:t>
            </w:r>
            <w:proofErr w:type="spellEnd"/>
            <w:r w:rsidRPr="005C3109">
              <w:rPr>
                <w:lang w:val="en-GB"/>
              </w:rPr>
              <w:t xml:space="preserve"> </w:t>
            </w:r>
            <w:r>
              <w:rPr>
                <w:lang w:val="en-GB"/>
              </w:rPr>
              <w:t>inciden</w:t>
            </w:r>
            <w:r w:rsidRPr="00126F0E">
              <w:rPr>
                <w:lang w:val="en-GB"/>
              </w:rPr>
              <w:t xml:space="preserve">t chronic hypoparathyroidism </w:t>
            </w:r>
            <w:proofErr w:type="gramStart"/>
            <w:r w:rsidRPr="00126F0E">
              <w:rPr>
                <w:lang w:val="en-GB"/>
              </w:rPr>
              <w:t>patients;</w:t>
            </w:r>
            <w:proofErr w:type="gramEnd"/>
          </w:p>
          <w:p w14:paraId="60438E5C" w14:textId="66ED1A10" w:rsidR="00126F0E" w:rsidRDefault="00126F0E" w:rsidP="009E5DB6">
            <w:pPr>
              <w:pStyle w:val="BodyText"/>
              <w:numPr>
                <w:ilvl w:val="0"/>
                <w:numId w:val="21"/>
              </w:numPr>
              <w:spacing w:line="300" w:lineRule="exact"/>
              <w:ind w:left="720"/>
              <w:rPr>
                <w:lang w:val="en-GB"/>
              </w:rPr>
            </w:pPr>
            <w:r>
              <w:rPr>
                <w:lang w:val="en-GB"/>
              </w:rPr>
              <w:t>A</w:t>
            </w:r>
            <w:r w:rsidRPr="00126F0E">
              <w:rPr>
                <w:lang w:val="en-GB"/>
              </w:rPr>
              <w:t>dult incident chronic hypoparathyroidism patients (and their controls</w:t>
            </w:r>
            <w:proofErr w:type="gramStart"/>
            <w:r w:rsidRPr="00126F0E">
              <w:rPr>
                <w:lang w:val="en-GB"/>
              </w:rPr>
              <w:t>);</w:t>
            </w:r>
            <w:proofErr w:type="gramEnd"/>
          </w:p>
          <w:p w14:paraId="3A29FB4B" w14:textId="3593C8A4" w:rsidR="00126F0E" w:rsidRDefault="00126F0E" w:rsidP="009E5DB6">
            <w:pPr>
              <w:pStyle w:val="BodyText"/>
              <w:numPr>
                <w:ilvl w:val="0"/>
                <w:numId w:val="21"/>
              </w:numPr>
              <w:spacing w:line="300" w:lineRule="exact"/>
              <w:ind w:left="720"/>
              <w:rPr>
                <w:lang w:val="en-GB"/>
              </w:rPr>
            </w:pPr>
            <w:r>
              <w:rPr>
                <w:lang w:val="en-GB"/>
              </w:rPr>
              <w:t>A</w:t>
            </w:r>
            <w:r w:rsidRPr="00126F0E">
              <w:rPr>
                <w:lang w:val="en-GB"/>
              </w:rPr>
              <w:t xml:space="preserve">dult prevalent chronic hypoparathyroidism </w:t>
            </w:r>
            <w:proofErr w:type="gramStart"/>
            <w:r w:rsidRPr="00126F0E">
              <w:rPr>
                <w:lang w:val="en-GB"/>
              </w:rPr>
              <w:t>patients;</w:t>
            </w:r>
            <w:proofErr w:type="gramEnd"/>
          </w:p>
          <w:p w14:paraId="6DFC8877" w14:textId="42E42D3B" w:rsidR="00126F0E" w:rsidRDefault="00126F0E" w:rsidP="009E5DB6">
            <w:pPr>
              <w:pStyle w:val="BodyText"/>
              <w:numPr>
                <w:ilvl w:val="0"/>
                <w:numId w:val="21"/>
              </w:numPr>
              <w:spacing w:line="300" w:lineRule="exact"/>
              <w:ind w:left="720"/>
              <w:rPr>
                <w:lang w:val="en-GB"/>
              </w:rPr>
            </w:pPr>
            <w:proofErr w:type="spellStart"/>
            <w:r>
              <w:rPr>
                <w:lang w:val="en-GB"/>
              </w:rPr>
              <w:t>P</w:t>
            </w:r>
            <w:r w:rsidRPr="00126F0E">
              <w:rPr>
                <w:lang w:val="en-GB"/>
              </w:rPr>
              <w:t>ediatric</w:t>
            </w:r>
            <w:proofErr w:type="spellEnd"/>
            <w:r w:rsidRPr="00126F0E">
              <w:rPr>
                <w:lang w:val="en-GB"/>
              </w:rPr>
              <w:t xml:space="preserve"> incident poorly controlled hypoparathyroidism </w:t>
            </w:r>
            <w:proofErr w:type="gramStart"/>
            <w:r w:rsidRPr="00126F0E">
              <w:rPr>
                <w:lang w:val="en-GB"/>
              </w:rPr>
              <w:t>patients;</w:t>
            </w:r>
            <w:proofErr w:type="gramEnd"/>
          </w:p>
          <w:p w14:paraId="0740311D" w14:textId="77777777" w:rsidR="00126F0E" w:rsidRDefault="00126F0E" w:rsidP="009E5DB6">
            <w:pPr>
              <w:pStyle w:val="BodyText"/>
              <w:numPr>
                <w:ilvl w:val="0"/>
                <w:numId w:val="21"/>
              </w:numPr>
              <w:spacing w:line="300" w:lineRule="exact"/>
              <w:ind w:left="720"/>
              <w:rPr>
                <w:lang w:val="en-GB"/>
              </w:rPr>
            </w:pPr>
            <w:r>
              <w:rPr>
                <w:lang w:val="en-GB"/>
              </w:rPr>
              <w:t>A</w:t>
            </w:r>
            <w:r w:rsidRPr="00126F0E">
              <w:rPr>
                <w:lang w:val="en-GB"/>
              </w:rPr>
              <w:t xml:space="preserve">dult incident poorly controlled hypoparathyroidism patients (and their controls) </w:t>
            </w:r>
            <w:proofErr w:type="gramStart"/>
            <w:r w:rsidRPr="00126F0E">
              <w:rPr>
                <w:lang w:val="en-GB"/>
              </w:rPr>
              <w:t>and;</w:t>
            </w:r>
            <w:proofErr w:type="gramEnd"/>
          </w:p>
          <w:p w14:paraId="2E6ACA17" w14:textId="44A8D2A4" w:rsidR="00126F0E" w:rsidRPr="00126F0E" w:rsidRDefault="00126F0E" w:rsidP="009E5DB6">
            <w:pPr>
              <w:pStyle w:val="BodyText"/>
              <w:numPr>
                <w:ilvl w:val="0"/>
                <w:numId w:val="21"/>
              </w:numPr>
              <w:spacing w:line="300" w:lineRule="exact"/>
              <w:ind w:left="720"/>
              <w:rPr>
                <w:lang w:val="en-GB"/>
              </w:rPr>
            </w:pPr>
            <w:r>
              <w:rPr>
                <w:lang w:val="en-GB"/>
              </w:rPr>
              <w:t>A</w:t>
            </w:r>
            <w:r w:rsidRPr="00126F0E">
              <w:rPr>
                <w:lang w:val="en-GB"/>
              </w:rPr>
              <w:t>dult prevalent poorly controlled hypoparathyroidism patients.</w:t>
            </w:r>
          </w:p>
          <w:p w14:paraId="51EEA44B" w14:textId="77777777" w:rsidR="00126F0E" w:rsidRDefault="00126F0E" w:rsidP="00903021">
            <w:pPr>
              <w:pStyle w:val="BodyText"/>
              <w:rPr>
                <w:lang w:val="en-GB" w:eastAsia="en-GB"/>
              </w:rPr>
            </w:pPr>
          </w:p>
          <w:p w14:paraId="515AD812" w14:textId="3255D3D5" w:rsidR="00126F0E" w:rsidRPr="00126F0E" w:rsidRDefault="00126F0E" w:rsidP="009E5DB6">
            <w:pPr>
              <w:pStyle w:val="BodyText"/>
              <w:numPr>
                <w:ilvl w:val="0"/>
                <w:numId w:val="5"/>
              </w:numPr>
              <w:ind w:left="360"/>
            </w:pPr>
            <w:r>
              <w:rPr>
                <w:lang w:val="en-GB" w:eastAsia="en-GB"/>
              </w:rPr>
              <w:t xml:space="preserve">Report the overall and annual incremental healthcare resource utilisation for each of the patient cohorts listed in objective 1. Compare healthcare resource utilisation for </w:t>
            </w:r>
            <w:r w:rsidRPr="005C3109">
              <w:rPr>
                <w:lang w:val="en-GB" w:eastAsia="en-GB"/>
              </w:rPr>
              <w:t>adult</w:t>
            </w:r>
            <w:r>
              <w:rPr>
                <w:lang w:val="en-GB" w:eastAsia="en-GB"/>
              </w:rPr>
              <w:t xml:space="preserve"> incident</w:t>
            </w:r>
            <w:r w:rsidRPr="005C3109">
              <w:rPr>
                <w:lang w:val="en-GB" w:eastAsia="en-GB"/>
              </w:rPr>
              <w:t xml:space="preserve"> chronic </w:t>
            </w:r>
            <w:r>
              <w:rPr>
                <w:lang w:val="en-GB" w:eastAsia="en-GB"/>
              </w:rPr>
              <w:t>hypoparathyroidism</w:t>
            </w:r>
            <w:r w:rsidRPr="005C3109">
              <w:rPr>
                <w:lang w:val="en-GB" w:eastAsia="en-GB"/>
              </w:rPr>
              <w:t xml:space="preserve"> </w:t>
            </w:r>
            <w:r>
              <w:rPr>
                <w:lang w:val="en-GB" w:eastAsia="en-GB"/>
              </w:rPr>
              <w:t>to their controls</w:t>
            </w:r>
            <w:r w:rsidR="00414D7F">
              <w:rPr>
                <w:lang w:val="en-GB" w:eastAsia="en-GB"/>
              </w:rPr>
              <w:t>.</w:t>
            </w:r>
            <w:r>
              <w:rPr>
                <w:lang w:val="en-GB" w:eastAsia="en-GB"/>
              </w:rPr>
              <w:t xml:space="preserve"> </w:t>
            </w:r>
            <w:r w:rsidR="00414D7F">
              <w:rPr>
                <w:lang w:val="en-GB" w:eastAsia="en-GB"/>
              </w:rPr>
              <w:t>A</w:t>
            </w:r>
            <w:r>
              <w:rPr>
                <w:lang w:val="en-GB" w:eastAsia="en-GB"/>
              </w:rPr>
              <w:t>lso</w:t>
            </w:r>
            <w:r w:rsidR="00414D7F">
              <w:rPr>
                <w:lang w:val="en-GB" w:eastAsia="en-GB"/>
              </w:rPr>
              <w:t>,</w:t>
            </w:r>
            <w:r>
              <w:rPr>
                <w:lang w:val="en-GB" w:eastAsia="en-GB"/>
              </w:rPr>
              <w:t xml:space="preserve"> compare adult</w:t>
            </w:r>
            <w:r w:rsidRPr="005C3109">
              <w:rPr>
                <w:lang w:val="en-GB" w:eastAsia="en-GB"/>
              </w:rPr>
              <w:t xml:space="preserve"> </w:t>
            </w:r>
            <w:r>
              <w:rPr>
                <w:lang w:val="en-GB" w:eastAsia="en-GB"/>
              </w:rPr>
              <w:t xml:space="preserve">incident </w:t>
            </w:r>
            <w:r w:rsidRPr="005C3109">
              <w:rPr>
                <w:lang w:val="en-GB" w:eastAsia="en-GB"/>
              </w:rPr>
              <w:t xml:space="preserve">poorly controlled </w:t>
            </w:r>
            <w:r>
              <w:rPr>
                <w:lang w:val="en-GB" w:eastAsia="en-GB"/>
              </w:rPr>
              <w:t xml:space="preserve">hypoparathyroidism to their controls. </w:t>
            </w:r>
            <w:bookmarkStart w:id="0" w:name="_Toc486318240"/>
            <w:bookmarkStart w:id="1" w:name="_Toc502165497"/>
          </w:p>
          <w:p w14:paraId="33CC27DD" w14:textId="77777777" w:rsidR="00126F0E" w:rsidRDefault="00126F0E" w:rsidP="00903021">
            <w:pPr>
              <w:pStyle w:val="BodyText"/>
              <w:ind w:left="360"/>
            </w:pPr>
          </w:p>
          <w:p w14:paraId="106FC396" w14:textId="2FA918C1" w:rsidR="00126F0E" w:rsidRDefault="00126F0E" w:rsidP="009E5DB6">
            <w:pPr>
              <w:pStyle w:val="BodyText"/>
              <w:numPr>
                <w:ilvl w:val="0"/>
                <w:numId w:val="5"/>
              </w:numPr>
              <w:ind w:left="360"/>
              <w:rPr>
                <w:lang w:val="en-GB" w:eastAsia="en-GB"/>
              </w:rPr>
            </w:pPr>
            <w:bookmarkStart w:id="2" w:name="_Toc453939111"/>
            <w:bookmarkStart w:id="3" w:name="_Toc454808048"/>
            <w:bookmarkEnd w:id="0"/>
            <w:bookmarkEnd w:id="1"/>
            <w:bookmarkEnd w:id="2"/>
            <w:bookmarkEnd w:id="3"/>
            <w:r>
              <w:rPr>
                <w:lang w:val="en-GB" w:eastAsia="en-GB"/>
              </w:rPr>
              <w:t xml:space="preserve">Report the overall and annual incremental healthcare resource cost for each of the patient cohorts listed in objective 1. Compare healthcare resource cost for </w:t>
            </w:r>
            <w:r w:rsidRPr="005C3109">
              <w:rPr>
                <w:lang w:val="en-GB" w:eastAsia="en-GB"/>
              </w:rPr>
              <w:t>adult</w:t>
            </w:r>
            <w:r>
              <w:rPr>
                <w:lang w:val="en-GB" w:eastAsia="en-GB"/>
              </w:rPr>
              <w:t xml:space="preserve"> incident</w:t>
            </w:r>
            <w:r w:rsidRPr="005C3109">
              <w:rPr>
                <w:lang w:val="en-GB" w:eastAsia="en-GB"/>
              </w:rPr>
              <w:t xml:space="preserve"> chronic </w:t>
            </w:r>
            <w:r>
              <w:rPr>
                <w:lang w:val="en-GB" w:eastAsia="en-GB"/>
              </w:rPr>
              <w:t>hypoparathyroidism</w:t>
            </w:r>
            <w:r w:rsidRPr="005C3109">
              <w:rPr>
                <w:lang w:val="en-GB" w:eastAsia="en-GB"/>
              </w:rPr>
              <w:t xml:space="preserve"> </w:t>
            </w:r>
            <w:r>
              <w:rPr>
                <w:lang w:val="en-GB" w:eastAsia="en-GB"/>
              </w:rPr>
              <w:t>to their controls</w:t>
            </w:r>
            <w:r w:rsidR="00414D7F">
              <w:rPr>
                <w:lang w:val="en-GB" w:eastAsia="en-GB"/>
              </w:rPr>
              <w:t>.</w:t>
            </w:r>
            <w:r>
              <w:rPr>
                <w:lang w:val="en-GB" w:eastAsia="en-GB"/>
              </w:rPr>
              <w:t xml:space="preserve"> </w:t>
            </w:r>
            <w:r w:rsidR="00414D7F">
              <w:rPr>
                <w:lang w:val="en-GB" w:eastAsia="en-GB"/>
              </w:rPr>
              <w:t>A</w:t>
            </w:r>
            <w:r>
              <w:rPr>
                <w:lang w:val="en-GB" w:eastAsia="en-GB"/>
              </w:rPr>
              <w:t>lso</w:t>
            </w:r>
            <w:r w:rsidR="00414D7F">
              <w:rPr>
                <w:lang w:val="en-GB" w:eastAsia="en-GB"/>
              </w:rPr>
              <w:t>,</w:t>
            </w:r>
            <w:r>
              <w:rPr>
                <w:lang w:val="en-GB" w:eastAsia="en-GB"/>
              </w:rPr>
              <w:t xml:space="preserve"> compare adult</w:t>
            </w:r>
            <w:r w:rsidRPr="005C3109">
              <w:rPr>
                <w:lang w:val="en-GB" w:eastAsia="en-GB"/>
              </w:rPr>
              <w:t xml:space="preserve"> </w:t>
            </w:r>
            <w:r>
              <w:rPr>
                <w:lang w:val="en-GB" w:eastAsia="en-GB"/>
              </w:rPr>
              <w:t xml:space="preserve">incident </w:t>
            </w:r>
            <w:r w:rsidRPr="005C3109">
              <w:rPr>
                <w:lang w:val="en-GB" w:eastAsia="en-GB"/>
              </w:rPr>
              <w:t xml:space="preserve">poorly controlled </w:t>
            </w:r>
            <w:r>
              <w:rPr>
                <w:lang w:val="en-GB" w:eastAsia="en-GB"/>
              </w:rPr>
              <w:t>hypoparathyroidism</w:t>
            </w:r>
            <w:r w:rsidRPr="005C3109">
              <w:rPr>
                <w:lang w:val="en-GB" w:eastAsia="en-GB"/>
              </w:rPr>
              <w:t xml:space="preserve"> </w:t>
            </w:r>
            <w:r>
              <w:rPr>
                <w:lang w:val="en-GB" w:eastAsia="en-GB"/>
              </w:rPr>
              <w:t>to their controls. The costs associated to the following healthcare resource utilisation will be analysed</w:t>
            </w:r>
            <w:r w:rsidR="00986A14">
              <w:rPr>
                <w:lang w:val="en-GB" w:eastAsia="en-GB"/>
              </w:rPr>
              <w:t>.</w:t>
            </w:r>
          </w:p>
          <w:p w14:paraId="3F7C35DC" w14:textId="4D34DC07" w:rsidR="00375D1D" w:rsidRPr="00D516C3" w:rsidRDefault="00375D1D" w:rsidP="00126F0E">
            <w:pPr>
              <w:pStyle w:val="BodyText"/>
              <w:ind w:left="720"/>
            </w:pPr>
          </w:p>
        </w:tc>
      </w:tr>
      <w:tr w:rsidR="0000584A" w14:paraId="3604FE62" w14:textId="77777777" w:rsidTr="000D7F8F">
        <w:tc>
          <w:tcPr>
            <w:tcW w:w="2909" w:type="dxa"/>
            <w:vMerge w:val="restart"/>
            <w:tcBorders>
              <w:top w:val="single" w:sz="4" w:space="0" w:color="999999"/>
              <w:right w:val="single" w:sz="4" w:space="0" w:color="A6A6A6" w:themeColor="background1" w:themeShade="A6"/>
            </w:tcBorders>
            <w:noWrap/>
            <w:tcMar>
              <w:top w:w="15" w:type="dxa"/>
              <w:left w:w="15" w:type="dxa"/>
              <w:bottom w:w="0" w:type="dxa"/>
              <w:right w:w="15" w:type="dxa"/>
            </w:tcMar>
          </w:tcPr>
          <w:p w14:paraId="7E93D1F1" w14:textId="77777777" w:rsidR="0000584A" w:rsidRPr="00744AC7" w:rsidRDefault="0000584A" w:rsidP="000B3B18">
            <w:pPr>
              <w:spacing w:before="60"/>
              <w:rPr>
                <w:b/>
              </w:rPr>
            </w:pPr>
            <w:r>
              <w:rPr>
                <w:b/>
              </w:rPr>
              <w:t>ICES Project PIA Initial Approval Date:</w:t>
            </w:r>
          </w:p>
        </w:tc>
        <w:tc>
          <w:tcPr>
            <w:tcW w:w="7206" w:type="dxa"/>
            <w:gridSpan w:val="6"/>
            <w:tcBorders>
              <w:top w:val="single" w:sz="4" w:space="0" w:color="999999"/>
              <w:left w:val="single" w:sz="4" w:space="0" w:color="A6A6A6" w:themeColor="background1" w:themeShade="A6"/>
              <w:bottom w:val="single" w:sz="4" w:space="0" w:color="999999"/>
            </w:tcBorders>
            <w:shd w:val="pct15" w:color="auto" w:fill="auto"/>
          </w:tcPr>
          <w:p w14:paraId="07E9F913" w14:textId="527B94AD" w:rsidR="0000584A" w:rsidRPr="00D35D78" w:rsidRDefault="0000584A" w:rsidP="000B3B18">
            <w:pPr>
              <w:spacing w:before="60"/>
              <w:rPr>
                <w:i/>
                <w:color w:val="548DD4" w:themeColor="text2" w:themeTint="99"/>
              </w:rPr>
            </w:pPr>
            <w:r w:rsidRPr="001433F4">
              <w:rPr>
                <w:i/>
                <w:color w:val="365F91" w:themeColor="accent1" w:themeShade="BF"/>
                <w:sz w:val="16"/>
              </w:rPr>
              <w:t xml:space="preserve">The ICES Employee or agent who is responsible for creating the Project Dataset(s) is responsible for ensuring there is an approved </w:t>
            </w:r>
            <w:r w:rsidR="00D112EB">
              <w:rPr>
                <w:i/>
                <w:color w:val="365F91" w:themeColor="accent1" w:themeShade="BF"/>
                <w:sz w:val="16"/>
              </w:rPr>
              <w:t xml:space="preserve">ICES Project </w:t>
            </w:r>
            <w:r w:rsidRPr="001433F4">
              <w:rPr>
                <w:i/>
                <w:color w:val="365F91" w:themeColor="accent1" w:themeShade="BF"/>
                <w:sz w:val="16"/>
              </w:rPr>
              <w:t>PIA and verifying the date of approval prior to creating the Project Dataset(s)</w:t>
            </w:r>
          </w:p>
        </w:tc>
      </w:tr>
      <w:tr w:rsidR="0000584A" w14:paraId="78608275" w14:textId="77777777" w:rsidTr="000D7F8F">
        <w:tc>
          <w:tcPr>
            <w:tcW w:w="2909" w:type="dxa"/>
            <w:vMerge/>
            <w:tcBorders>
              <w:bottom w:val="single" w:sz="4" w:space="0" w:color="999999"/>
              <w:right w:val="single" w:sz="4" w:space="0" w:color="A6A6A6" w:themeColor="background1" w:themeShade="A6"/>
            </w:tcBorders>
            <w:noWrap/>
            <w:tcMar>
              <w:top w:w="15" w:type="dxa"/>
              <w:left w:w="15" w:type="dxa"/>
              <w:bottom w:w="0" w:type="dxa"/>
              <w:right w:w="15" w:type="dxa"/>
            </w:tcMar>
          </w:tcPr>
          <w:p w14:paraId="789FBD14" w14:textId="77777777" w:rsidR="0000584A" w:rsidRDefault="0000584A" w:rsidP="000B3B18">
            <w:pPr>
              <w:spacing w:before="60"/>
              <w:rPr>
                <w:b/>
              </w:rPr>
            </w:pPr>
          </w:p>
        </w:tc>
        <w:tc>
          <w:tcPr>
            <w:tcW w:w="7206" w:type="dxa"/>
            <w:gridSpan w:val="6"/>
            <w:tcBorders>
              <w:top w:val="single" w:sz="4" w:space="0" w:color="999999"/>
              <w:left w:val="single" w:sz="4" w:space="0" w:color="A6A6A6" w:themeColor="background1" w:themeShade="A6"/>
              <w:bottom w:val="single" w:sz="4" w:space="0" w:color="999999"/>
            </w:tcBorders>
          </w:tcPr>
          <w:p w14:paraId="2325B369" w14:textId="3E192D9A" w:rsidR="0000584A" w:rsidRPr="00AE3140" w:rsidRDefault="00E871E1" w:rsidP="000B3B18">
            <w:pPr>
              <w:spacing w:before="60"/>
              <w:rPr>
                <w:i/>
                <w:color w:val="548DD4" w:themeColor="text2" w:themeTint="99"/>
              </w:rPr>
            </w:pPr>
            <w:r>
              <w:t>2017-02-22</w:t>
            </w:r>
            <w:r w:rsidR="0000584A">
              <w:rPr>
                <w:i/>
                <w:color w:val="548DD4" w:themeColor="text2" w:themeTint="99"/>
              </w:rPr>
              <w:t xml:space="preserve"> </w:t>
            </w:r>
          </w:p>
        </w:tc>
      </w:tr>
      <w:tr w:rsidR="000B3B18" w14:paraId="514D7948" w14:textId="77777777" w:rsidTr="000D7F8F">
        <w:tc>
          <w:tcPr>
            <w:tcW w:w="2909" w:type="dxa"/>
            <w:tcBorders>
              <w:top w:val="single" w:sz="4" w:space="0" w:color="999999"/>
              <w:bottom w:val="single" w:sz="4" w:space="0" w:color="999999"/>
              <w:right w:val="single" w:sz="4" w:space="0" w:color="A6A6A6" w:themeColor="background1" w:themeShade="A6"/>
            </w:tcBorders>
            <w:noWrap/>
            <w:tcMar>
              <w:top w:w="15" w:type="dxa"/>
              <w:left w:w="15" w:type="dxa"/>
              <w:bottom w:w="0" w:type="dxa"/>
              <w:right w:w="15" w:type="dxa"/>
            </w:tcMar>
          </w:tcPr>
          <w:p w14:paraId="677CF4C5" w14:textId="77777777" w:rsidR="000B3B18" w:rsidRPr="00BC3C13" w:rsidRDefault="000B3B18" w:rsidP="000B3B18">
            <w:pPr>
              <w:spacing w:before="60"/>
              <w:rPr>
                <w:b/>
              </w:rPr>
            </w:pPr>
            <w:r w:rsidRPr="00BC3C13">
              <w:rPr>
                <w:b/>
              </w:rPr>
              <w:t>Principal Investigator (PI):</w:t>
            </w:r>
          </w:p>
        </w:tc>
        <w:tc>
          <w:tcPr>
            <w:tcW w:w="7206" w:type="dxa"/>
            <w:gridSpan w:val="6"/>
            <w:tcBorders>
              <w:top w:val="single" w:sz="4" w:space="0" w:color="999999"/>
              <w:left w:val="single" w:sz="4" w:space="0" w:color="A6A6A6" w:themeColor="background1" w:themeShade="A6"/>
              <w:bottom w:val="single" w:sz="4" w:space="0" w:color="999999"/>
            </w:tcBorders>
            <w:vAlign w:val="center"/>
          </w:tcPr>
          <w:p w14:paraId="3FC70667" w14:textId="72C0C019" w:rsidR="000B3B18" w:rsidRPr="00D516C3" w:rsidRDefault="00E871E1" w:rsidP="000B3B18">
            <w:pPr>
              <w:spacing w:before="60"/>
            </w:pPr>
            <w:proofErr w:type="spellStart"/>
            <w:r>
              <w:t>Aren</w:t>
            </w:r>
            <w:proofErr w:type="spellEnd"/>
            <w:r>
              <w:t xml:space="preserve"> Fischer (IMS Brogan)</w:t>
            </w:r>
          </w:p>
        </w:tc>
      </w:tr>
      <w:tr w:rsidR="000B3B18" w14:paraId="2E4E955E" w14:textId="77777777" w:rsidTr="000D7F8F">
        <w:tc>
          <w:tcPr>
            <w:tcW w:w="2909" w:type="dxa"/>
            <w:tcBorders>
              <w:top w:val="single" w:sz="4" w:space="0" w:color="999999"/>
              <w:bottom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24328D29" w14:textId="67B61A41" w:rsidR="000B3B18" w:rsidRDefault="00C15257" w:rsidP="000B3B18">
            <w:pPr>
              <w:spacing w:before="60"/>
              <w:rPr>
                <w:b/>
              </w:rPr>
            </w:pPr>
            <w:r>
              <w:rPr>
                <w:b/>
              </w:rPr>
              <w:t>C</w:t>
            </w:r>
            <w:r w:rsidR="00DE07FF">
              <w:rPr>
                <w:b/>
              </w:rPr>
              <w:t xml:space="preserve">heck the applicable box if the </w:t>
            </w:r>
            <w:r w:rsidR="000B3B18">
              <w:rPr>
                <w:b/>
              </w:rPr>
              <w:t xml:space="preserve">PI </w:t>
            </w:r>
            <w:r w:rsidR="00DE07FF">
              <w:rPr>
                <w:b/>
              </w:rPr>
              <w:t xml:space="preserve">is </w:t>
            </w:r>
            <w:r w:rsidR="000B3B18">
              <w:rPr>
                <w:b/>
              </w:rPr>
              <w:t>an ICES Student</w:t>
            </w:r>
            <w:r w:rsidR="00391715">
              <w:rPr>
                <w:b/>
              </w:rPr>
              <w:t>/Trainee</w:t>
            </w:r>
          </w:p>
        </w:tc>
        <w:tc>
          <w:tcPr>
            <w:tcW w:w="7206" w:type="dxa"/>
            <w:gridSpan w:val="6"/>
            <w:tcBorders>
              <w:top w:val="single" w:sz="4" w:space="0" w:color="999999"/>
              <w:left w:val="single" w:sz="4" w:space="0" w:color="A6A6A6" w:themeColor="background1" w:themeShade="A6"/>
              <w:bottom w:val="single" w:sz="4" w:space="0" w:color="A6A6A6" w:themeColor="background1" w:themeShade="A6"/>
            </w:tcBorders>
            <w:vAlign w:val="center"/>
          </w:tcPr>
          <w:p w14:paraId="425E14BE" w14:textId="4D7A7559" w:rsidR="000B3B18" w:rsidRPr="00C2695E" w:rsidRDefault="00E871E1" w:rsidP="00A13942">
            <w:pPr>
              <w:spacing w:before="60"/>
              <w:rPr>
                <w:i/>
                <w:color w:val="548DD4" w:themeColor="text2" w:themeTint="99"/>
              </w:rPr>
            </w:pPr>
            <w:sdt>
              <w:sdtPr>
                <w:id w:val="-18545623"/>
                <w14:checkbox>
                  <w14:checked w14:val="0"/>
                  <w14:checkedState w14:val="2612" w14:font="MS Gothic"/>
                  <w14:uncheckedState w14:val="2610" w14:font="MS Gothic"/>
                </w14:checkbox>
              </w:sdtPr>
              <w:sdtEndPr/>
              <w:sdtContent>
                <w:r w:rsidR="00E96EBF">
                  <w:rPr>
                    <w:rFonts w:ascii="MS Gothic" w:eastAsia="MS Gothic" w:hAnsi="MS Gothic" w:hint="eastAsia"/>
                  </w:rPr>
                  <w:t>☐</w:t>
                </w:r>
              </w:sdtContent>
            </w:sdt>
            <w:r w:rsidR="00E96EBF">
              <w:t xml:space="preserve"> </w:t>
            </w:r>
            <w:r w:rsidR="00E96EBF" w:rsidRPr="00C2695E">
              <w:t>ICES Student</w:t>
            </w:r>
            <w:r w:rsidR="00E96EBF">
              <w:tab/>
            </w:r>
            <w:sdt>
              <w:sdtPr>
                <w:id w:val="817696443"/>
                <w14:checkbox>
                  <w14:checked w14:val="0"/>
                  <w14:checkedState w14:val="2612" w14:font="MS Gothic"/>
                  <w14:uncheckedState w14:val="2610" w14:font="MS Gothic"/>
                </w14:checkbox>
              </w:sdtPr>
              <w:sdtEndPr/>
              <w:sdtContent>
                <w:r w:rsidR="00E96EBF">
                  <w:rPr>
                    <w:rFonts w:ascii="MS Gothic" w:eastAsia="MS Gothic" w:hAnsi="MS Gothic" w:hint="eastAsia"/>
                  </w:rPr>
                  <w:t>☐</w:t>
                </w:r>
              </w:sdtContent>
            </w:sdt>
            <w:r w:rsidR="00E96EBF">
              <w:t xml:space="preserve"> ICES </w:t>
            </w:r>
            <w:r w:rsidR="00E96EBF" w:rsidRPr="00C2695E">
              <w:t>Fellow</w:t>
            </w:r>
            <w:r w:rsidR="00E96EBF">
              <w:tab/>
            </w:r>
            <w:sdt>
              <w:sdtPr>
                <w:id w:val="2115476558"/>
                <w14:checkbox>
                  <w14:checked w14:val="0"/>
                  <w14:checkedState w14:val="2612" w14:font="MS Gothic"/>
                  <w14:uncheckedState w14:val="2610" w14:font="MS Gothic"/>
                </w14:checkbox>
              </w:sdtPr>
              <w:sdtEndPr/>
              <w:sdtContent>
                <w:r w:rsidR="00E96EBF">
                  <w:rPr>
                    <w:rFonts w:ascii="MS Gothic" w:eastAsia="MS Gothic" w:hAnsi="MS Gothic" w:hint="eastAsia"/>
                  </w:rPr>
                  <w:t>☐</w:t>
                </w:r>
              </w:sdtContent>
            </w:sdt>
            <w:r w:rsidR="00E96EBF">
              <w:t xml:space="preserve"> ICES </w:t>
            </w:r>
            <w:r w:rsidR="00A13942">
              <w:t xml:space="preserve">Post-Doctoral </w:t>
            </w:r>
            <w:r w:rsidR="00E96EBF">
              <w:t>Trainee</w:t>
            </w:r>
            <w:r w:rsidR="00A13942">
              <w:t xml:space="preserve">     </w:t>
            </w:r>
            <w:sdt>
              <w:sdtPr>
                <w:id w:val="-1642107256"/>
                <w14:checkbox>
                  <w14:checked w14:val="0"/>
                  <w14:checkedState w14:val="2612" w14:font="MS Gothic"/>
                  <w14:uncheckedState w14:val="2610" w14:font="MS Gothic"/>
                </w14:checkbox>
              </w:sdtPr>
              <w:sdtEndPr/>
              <w:sdtContent>
                <w:r w:rsidR="00E96EBF">
                  <w:rPr>
                    <w:rFonts w:ascii="MS Gothic" w:eastAsia="MS Gothic" w:hAnsi="MS Gothic" w:hint="eastAsia"/>
                  </w:rPr>
                  <w:t>☐</w:t>
                </w:r>
              </w:sdtContent>
            </w:sdt>
            <w:r w:rsidR="00E96EBF">
              <w:t xml:space="preserve"> Visiting Scholar</w:t>
            </w:r>
          </w:p>
        </w:tc>
      </w:tr>
      <w:tr w:rsidR="006619F0" w14:paraId="50BD5F0C" w14:textId="77777777" w:rsidTr="000D7F8F">
        <w:trPr>
          <w:trHeight w:val="354"/>
        </w:trPr>
        <w:tc>
          <w:tcPr>
            <w:tcW w:w="2909" w:type="dxa"/>
            <w:vMerge w:val="restart"/>
            <w:tcBorders>
              <w:top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349900D2" w14:textId="5DFD0672" w:rsidR="006619F0" w:rsidRDefault="006619F0" w:rsidP="00532F9D">
            <w:pPr>
              <w:spacing w:before="60"/>
              <w:rPr>
                <w:b/>
              </w:rPr>
            </w:pPr>
            <w:r>
              <w:rPr>
                <w:b/>
              </w:rPr>
              <w:t>Responsible ICES Scientist</w:t>
            </w:r>
            <w:r w:rsidRPr="00744AC7">
              <w:rPr>
                <w:b/>
              </w:rPr>
              <w:t>:</w:t>
            </w:r>
          </w:p>
        </w:tc>
        <w:tc>
          <w:tcPr>
            <w:tcW w:w="7206" w:type="dxa"/>
            <w:gridSpan w:val="6"/>
            <w:tcBorders>
              <w:top w:val="single" w:sz="4" w:space="0" w:color="A6A6A6" w:themeColor="background1" w:themeShade="A6"/>
              <w:left w:val="single" w:sz="4" w:space="0" w:color="A6A6A6" w:themeColor="background1" w:themeShade="A6"/>
              <w:bottom w:val="single" w:sz="4" w:space="0" w:color="999999"/>
            </w:tcBorders>
            <w:shd w:val="pct15" w:color="auto" w:fill="auto"/>
            <w:vAlign w:val="center"/>
          </w:tcPr>
          <w:p w14:paraId="6CC15A98" w14:textId="0A07A157" w:rsidR="006619F0" w:rsidRPr="00BE46DA" w:rsidRDefault="006619F0" w:rsidP="00532F9D">
            <w:pPr>
              <w:spacing w:before="60"/>
              <w:rPr>
                <w:i/>
                <w:color w:val="548DD4" w:themeColor="text2" w:themeTint="99"/>
              </w:rPr>
            </w:pPr>
            <w:r w:rsidRPr="001433F4">
              <w:rPr>
                <w:i/>
                <w:color w:val="365F91" w:themeColor="accent1" w:themeShade="BF"/>
                <w:sz w:val="16"/>
              </w:rPr>
              <w:t>Name the Responsible ICES Scientist if the PI is not a Full Status ICES Scientist</w:t>
            </w:r>
          </w:p>
        </w:tc>
      </w:tr>
      <w:tr w:rsidR="006619F0" w14:paraId="7A191D39" w14:textId="77777777" w:rsidTr="000D7F8F">
        <w:trPr>
          <w:trHeight w:val="353"/>
        </w:trPr>
        <w:tc>
          <w:tcPr>
            <w:tcW w:w="2909" w:type="dxa"/>
            <w:vMerge/>
            <w:tcBorders>
              <w:bottom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0BF42382" w14:textId="77777777" w:rsidR="006619F0" w:rsidRDefault="006619F0" w:rsidP="00532F9D">
            <w:pPr>
              <w:spacing w:before="60"/>
              <w:rPr>
                <w:b/>
              </w:rPr>
            </w:pPr>
          </w:p>
        </w:tc>
        <w:tc>
          <w:tcPr>
            <w:tcW w:w="7206" w:type="dxa"/>
            <w:gridSpan w:val="6"/>
            <w:tcBorders>
              <w:top w:val="single" w:sz="4" w:space="0" w:color="999999"/>
              <w:left w:val="single" w:sz="4" w:space="0" w:color="A6A6A6" w:themeColor="background1" w:themeShade="A6"/>
              <w:bottom w:val="single" w:sz="4" w:space="0" w:color="A6A6A6" w:themeColor="background1" w:themeShade="A6"/>
            </w:tcBorders>
            <w:shd w:val="clear" w:color="auto" w:fill="auto"/>
            <w:vAlign w:val="center"/>
          </w:tcPr>
          <w:p w14:paraId="3002E507" w14:textId="73E136CD" w:rsidR="006619F0" w:rsidRPr="00BC3C13" w:rsidRDefault="00E871E1" w:rsidP="00BC3C13">
            <w:pPr>
              <w:spacing w:before="60"/>
            </w:pPr>
            <w:r>
              <w:t>Refik Saskin</w:t>
            </w:r>
          </w:p>
        </w:tc>
      </w:tr>
      <w:tr w:rsidR="000B3B18" w14:paraId="185A6EB0" w14:textId="77777777" w:rsidTr="00241698">
        <w:trPr>
          <w:trHeight w:val="354"/>
        </w:trPr>
        <w:tc>
          <w:tcPr>
            <w:tcW w:w="2909" w:type="dxa"/>
            <w:vMerge w:val="restart"/>
            <w:tcBorders>
              <w:top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63DAB873" w14:textId="5D16C554" w:rsidR="000B3B18" w:rsidRDefault="00CE78AF" w:rsidP="00265C99">
            <w:pPr>
              <w:spacing w:before="60"/>
              <w:rPr>
                <w:b/>
              </w:rPr>
            </w:pPr>
            <w:r>
              <w:rPr>
                <w:b/>
              </w:rPr>
              <w:t>Project Team Member</w:t>
            </w:r>
            <w:r w:rsidR="000B3B18">
              <w:rPr>
                <w:b/>
              </w:rPr>
              <w:t>(s) Responsible for Project Dataset Creation and/or Statistical Analysis</w:t>
            </w:r>
            <w:r w:rsidR="0047572F">
              <w:rPr>
                <w:b/>
              </w:rPr>
              <w:t xml:space="preserve"> and date </w:t>
            </w:r>
            <w:r w:rsidR="00265C99">
              <w:rPr>
                <w:b/>
              </w:rPr>
              <w:t>joined</w:t>
            </w:r>
            <w:r w:rsidR="000B3B18">
              <w:rPr>
                <w:b/>
              </w:rPr>
              <w:t xml:space="preserve"> (list all):</w:t>
            </w:r>
          </w:p>
        </w:tc>
        <w:tc>
          <w:tcPr>
            <w:tcW w:w="7206" w:type="dxa"/>
            <w:gridSpan w:val="6"/>
            <w:tcBorders>
              <w:top w:val="single" w:sz="4" w:space="0" w:color="A6A6A6" w:themeColor="background1" w:themeShade="A6"/>
              <w:left w:val="single" w:sz="4" w:space="0" w:color="A6A6A6" w:themeColor="background1" w:themeShade="A6"/>
              <w:bottom w:val="single" w:sz="4" w:space="0" w:color="999999"/>
            </w:tcBorders>
            <w:shd w:val="pct15" w:color="auto" w:fill="auto"/>
            <w:vAlign w:val="center"/>
          </w:tcPr>
          <w:p w14:paraId="58E30598" w14:textId="787834F8" w:rsidR="000B3B18" w:rsidRPr="00BE46DA" w:rsidRDefault="00000C1D" w:rsidP="00000C1D">
            <w:pPr>
              <w:spacing w:before="60"/>
              <w:rPr>
                <w:i/>
                <w:color w:val="548DD4" w:themeColor="text2" w:themeTint="99"/>
              </w:rPr>
            </w:pPr>
            <w:r>
              <w:rPr>
                <w:i/>
                <w:color w:val="365F91" w:themeColor="accent1" w:themeShade="BF"/>
                <w:sz w:val="16"/>
              </w:rPr>
              <w:t xml:space="preserve">All </w:t>
            </w:r>
            <w:r w:rsidR="000B3B18" w:rsidRPr="001433F4">
              <w:rPr>
                <w:i/>
                <w:color w:val="365F91" w:themeColor="accent1" w:themeShade="BF"/>
                <w:sz w:val="16"/>
              </w:rPr>
              <w:t>person(s) (ICES Analyst, Appointed Analyst, Analytic Epidemiologist</w:t>
            </w:r>
            <w:r w:rsidR="00C55987">
              <w:rPr>
                <w:i/>
                <w:color w:val="365F91" w:themeColor="accent1" w:themeShade="BF"/>
                <w:sz w:val="16"/>
              </w:rPr>
              <w:t>, PI,</w:t>
            </w:r>
            <w:r w:rsidR="000B3B18" w:rsidRPr="001433F4">
              <w:rPr>
                <w:i/>
                <w:color w:val="365F91" w:themeColor="accent1" w:themeShade="BF"/>
                <w:sz w:val="16"/>
              </w:rPr>
              <w:t xml:space="preserve"> and/or Student) responsible for creating the Project Dataset(s) and/or statistical analysis</w:t>
            </w:r>
            <w:r w:rsidR="00C15105">
              <w:rPr>
                <w:i/>
                <w:color w:val="365F91" w:themeColor="accent1" w:themeShade="BF"/>
                <w:sz w:val="16"/>
              </w:rPr>
              <w:t xml:space="preserve"> on the Research Analytics Environment (RAE)</w:t>
            </w:r>
            <w:r w:rsidR="00824992">
              <w:rPr>
                <w:i/>
                <w:color w:val="365F91" w:themeColor="accent1" w:themeShade="BF"/>
                <w:sz w:val="16"/>
              </w:rPr>
              <w:t xml:space="preserve"> and/or Data Safe Haven (DSH) </w:t>
            </w:r>
            <w:r>
              <w:rPr>
                <w:i/>
                <w:color w:val="365F91" w:themeColor="accent1" w:themeShade="BF"/>
                <w:sz w:val="16"/>
              </w:rPr>
              <w:t xml:space="preserve"> </w:t>
            </w:r>
            <w:r w:rsidRPr="008B206D">
              <w:rPr>
                <w:i/>
                <w:color w:val="365F91" w:themeColor="accent1" w:themeShade="BF"/>
                <w:sz w:val="16"/>
                <w:u w:val="single"/>
              </w:rPr>
              <w:t>and the date they joined the project</w:t>
            </w:r>
            <w:r>
              <w:rPr>
                <w:i/>
                <w:color w:val="365F91" w:themeColor="accent1" w:themeShade="BF"/>
                <w:sz w:val="16"/>
              </w:rPr>
              <w:t xml:space="preserve"> must be recorded</w:t>
            </w:r>
          </w:p>
        </w:tc>
      </w:tr>
      <w:tr w:rsidR="009968F4" w14:paraId="49B34888" w14:textId="77777777" w:rsidTr="009968F4">
        <w:trPr>
          <w:trHeight w:val="353"/>
        </w:trPr>
        <w:tc>
          <w:tcPr>
            <w:tcW w:w="2909" w:type="dxa"/>
            <w:vMerge/>
            <w:tcBorders>
              <w:bottom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360DBEB7" w14:textId="77777777" w:rsidR="009968F4" w:rsidRDefault="009968F4" w:rsidP="000B3B18">
            <w:pPr>
              <w:spacing w:before="60"/>
              <w:rPr>
                <w:b/>
              </w:rPr>
            </w:pPr>
          </w:p>
        </w:tc>
        <w:tc>
          <w:tcPr>
            <w:tcW w:w="5386" w:type="dxa"/>
            <w:gridSpan w:val="3"/>
            <w:tcBorders>
              <w:top w:val="single" w:sz="4" w:space="0" w:color="999999"/>
              <w:left w:val="single" w:sz="4" w:space="0" w:color="A6A6A6" w:themeColor="background1" w:themeShade="A6"/>
              <w:bottom w:val="single" w:sz="4" w:space="0" w:color="A6A6A6" w:themeColor="background1" w:themeShade="A6"/>
            </w:tcBorders>
            <w:shd w:val="clear" w:color="auto" w:fill="auto"/>
            <w:vAlign w:val="center"/>
          </w:tcPr>
          <w:p w14:paraId="4F9639F8" w14:textId="77777777" w:rsidR="009968F4" w:rsidRDefault="00E871E1" w:rsidP="000B3B18">
            <w:pPr>
              <w:spacing w:before="60"/>
            </w:pPr>
            <w:proofErr w:type="spellStart"/>
            <w:r>
              <w:t>Symron</w:t>
            </w:r>
            <w:proofErr w:type="spellEnd"/>
            <w:r>
              <w:t xml:space="preserve"> Bansal</w:t>
            </w:r>
          </w:p>
          <w:p w14:paraId="1121FDF6" w14:textId="5CAA7AA4" w:rsidR="00E871E1" w:rsidRPr="00241698" w:rsidRDefault="00E871E1" w:rsidP="000B3B18">
            <w:pPr>
              <w:spacing w:before="60"/>
            </w:pPr>
            <w:r>
              <w:t>Shudong Li</w:t>
            </w:r>
          </w:p>
        </w:tc>
        <w:tc>
          <w:tcPr>
            <w:tcW w:w="1820" w:type="dxa"/>
            <w:gridSpan w:val="3"/>
            <w:tcBorders>
              <w:top w:val="single" w:sz="4" w:space="0" w:color="999999"/>
              <w:left w:val="single" w:sz="4" w:space="0" w:color="A6A6A6" w:themeColor="background1" w:themeShade="A6"/>
              <w:bottom w:val="single" w:sz="4" w:space="0" w:color="A6A6A6" w:themeColor="background1" w:themeShade="A6"/>
            </w:tcBorders>
            <w:shd w:val="clear" w:color="auto" w:fill="auto"/>
            <w:vAlign w:val="center"/>
          </w:tcPr>
          <w:p w14:paraId="485A426E" w14:textId="639876C6" w:rsidR="00E871E1" w:rsidRPr="00241698" w:rsidRDefault="00E871E1" w:rsidP="000B3B18">
            <w:pPr>
              <w:spacing w:before="60"/>
            </w:pPr>
            <w:r>
              <w:t>2017-07-21</w:t>
            </w:r>
          </w:p>
        </w:tc>
      </w:tr>
      <w:tr w:rsidR="00B8517E" w:rsidRPr="00BE46DA" w14:paraId="51A46FD0" w14:textId="77777777" w:rsidTr="002619EF">
        <w:trPr>
          <w:trHeight w:val="354"/>
        </w:trPr>
        <w:tc>
          <w:tcPr>
            <w:tcW w:w="2909" w:type="dxa"/>
            <w:vMerge w:val="restart"/>
            <w:tcBorders>
              <w:top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54736D1C" w14:textId="442CA450" w:rsidR="00B8517E" w:rsidRDefault="00B8517E" w:rsidP="002619EF">
            <w:pPr>
              <w:spacing w:before="60"/>
              <w:rPr>
                <w:b/>
              </w:rPr>
            </w:pPr>
            <w:r>
              <w:rPr>
                <w:b/>
              </w:rPr>
              <w:t xml:space="preserve">Project Team Member(s) </w:t>
            </w:r>
            <w:r w:rsidR="005F554C">
              <w:rPr>
                <w:b/>
              </w:rPr>
              <w:t xml:space="preserve">who will request </w:t>
            </w:r>
            <w:r>
              <w:rPr>
                <w:b/>
              </w:rPr>
              <w:t xml:space="preserve">RAE </w:t>
            </w:r>
            <w:r w:rsidR="00824992">
              <w:rPr>
                <w:b/>
              </w:rPr>
              <w:t xml:space="preserve">and/or DSH </w:t>
            </w:r>
            <w:r>
              <w:rPr>
                <w:b/>
              </w:rPr>
              <w:t>folder access (list all)</w:t>
            </w:r>
            <w:r w:rsidR="00AB19D5">
              <w:rPr>
                <w:b/>
              </w:rPr>
              <w:t>:</w:t>
            </w:r>
          </w:p>
        </w:tc>
        <w:tc>
          <w:tcPr>
            <w:tcW w:w="7206" w:type="dxa"/>
            <w:gridSpan w:val="6"/>
            <w:tcBorders>
              <w:top w:val="single" w:sz="4" w:space="0" w:color="A6A6A6" w:themeColor="background1" w:themeShade="A6"/>
              <w:left w:val="single" w:sz="4" w:space="0" w:color="A6A6A6" w:themeColor="background1" w:themeShade="A6"/>
              <w:bottom w:val="single" w:sz="4" w:space="0" w:color="999999"/>
            </w:tcBorders>
            <w:shd w:val="pct15" w:color="auto" w:fill="auto"/>
            <w:vAlign w:val="center"/>
          </w:tcPr>
          <w:p w14:paraId="6B2DA875" w14:textId="050F0BBF" w:rsidR="00B8517E" w:rsidRPr="005F554C" w:rsidRDefault="005F554C" w:rsidP="002619EF">
            <w:pPr>
              <w:spacing w:before="60"/>
              <w:rPr>
                <w:rFonts w:cstheme="minorHAnsi"/>
                <w:i/>
                <w:color w:val="548DD4" w:themeColor="text2" w:themeTint="99"/>
                <w:sz w:val="16"/>
                <w:szCs w:val="16"/>
              </w:rPr>
            </w:pPr>
            <w:r w:rsidRPr="00AB19D5">
              <w:rPr>
                <w:rFonts w:cstheme="minorHAnsi"/>
                <w:i/>
                <w:color w:val="365F91" w:themeColor="accent1" w:themeShade="BF"/>
                <w:sz w:val="16"/>
                <w:szCs w:val="16"/>
              </w:rPr>
              <w:t>List t</w:t>
            </w:r>
            <w:r w:rsidRPr="005F554C">
              <w:rPr>
                <w:rFonts w:cstheme="minorHAnsi"/>
                <w:i/>
                <w:color w:val="365F91" w:themeColor="accent1" w:themeShade="BF"/>
                <w:sz w:val="16"/>
                <w:szCs w:val="16"/>
              </w:rPr>
              <w:t xml:space="preserve">he project team member responsible for dataset creation </w:t>
            </w:r>
            <w:r w:rsidRPr="00AB19D5">
              <w:rPr>
                <w:rFonts w:cstheme="minorHAnsi"/>
                <w:i/>
                <w:color w:val="365F91" w:themeColor="accent1" w:themeShade="BF"/>
                <w:sz w:val="16"/>
                <w:szCs w:val="16"/>
              </w:rPr>
              <w:t>who</w:t>
            </w:r>
            <w:r w:rsidRPr="005F554C">
              <w:rPr>
                <w:rFonts w:cstheme="minorHAnsi"/>
                <w:i/>
                <w:color w:val="365F91" w:themeColor="accent1" w:themeShade="BF"/>
                <w:sz w:val="16"/>
                <w:szCs w:val="16"/>
              </w:rPr>
              <w:t xml:space="preserve"> will request access for all members </w:t>
            </w:r>
            <w:r w:rsidRPr="00AB19D5">
              <w:rPr>
                <w:rFonts w:cstheme="minorHAnsi"/>
                <w:i/>
                <w:color w:val="365F91" w:themeColor="accent1" w:themeShade="BF"/>
                <w:sz w:val="16"/>
                <w:szCs w:val="16"/>
              </w:rPr>
              <w:t>requiring RAE</w:t>
            </w:r>
            <w:r w:rsidR="00824992">
              <w:rPr>
                <w:rFonts w:cstheme="minorHAnsi"/>
                <w:i/>
                <w:color w:val="365F91" w:themeColor="accent1" w:themeShade="BF"/>
                <w:sz w:val="16"/>
                <w:szCs w:val="16"/>
              </w:rPr>
              <w:t xml:space="preserve"> and/or </w:t>
            </w:r>
            <w:proofErr w:type="gramStart"/>
            <w:r w:rsidR="00824992">
              <w:rPr>
                <w:rFonts w:cstheme="minorHAnsi"/>
                <w:i/>
                <w:color w:val="365F91" w:themeColor="accent1" w:themeShade="BF"/>
                <w:sz w:val="16"/>
                <w:szCs w:val="16"/>
              </w:rPr>
              <w:t>DSH</w:t>
            </w:r>
            <w:r w:rsidR="007147D6">
              <w:rPr>
                <w:rFonts w:cstheme="minorHAnsi"/>
                <w:i/>
                <w:color w:val="365F91" w:themeColor="accent1" w:themeShade="BF"/>
                <w:sz w:val="16"/>
                <w:szCs w:val="16"/>
              </w:rPr>
              <w:t xml:space="preserve"> </w:t>
            </w:r>
            <w:r w:rsidRPr="00AB19D5">
              <w:rPr>
                <w:rFonts w:cstheme="minorHAnsi"/>
                <w:i/>
                <w:color w:val="365F91" w:themeColor="accent1" w:themeShade="BF"/>
                <w:sz w:val="16"/>
                <w:szCs w:val="16"/>
              </w:rPr>
              <w:t xml:space="preserve"> project</w:t>
            </w:r>
            <w:proofErr w:type="gramEnd"/>
            <w:r w:rsidRPr="00AB19D5">
              <w:rPr>
                <w:rFonts w:cstheme="minorHAnsi"/>
                <w:i/>
                <w:color w:val="365F91" w:themeColor="accent1" w:themeShade="BF"/>
                <w:sz w:val="16"/>
                <w:szCs w:val="16"/>
              </w:rPr>
              <w:t xml:space="preserve"> folder access (e.g. analyst, methodologist, student</w:t>
            </w:r>
            <w:r w:rsidR="00E22880">
              <w:rPr>
                <w:rFonts w:cstheme="minorHAnsi"/>
                <w:i/>
                <w:color w:val="365F91" w:themeColor="accent1" w:themeShade="BF"/>
                <w:sz w:val="16"/>
                <w:szCs w:val="16"/>
              </w:rPr>
              <w:t xml:space="preserve">, </w:t>
            </w:r>
            <w:proofErr w:type="spellStart"/>
            <w:r w:rsidR="00E22880">
              <w:rPr>
                <w:rFonts w:cstheme="minorHAnsi"/>
                <w:i/>
                <w:color w:val="365F91" w:themeColor="accent1" w:themeShade="BF"/>
                <w:sz w:val="16"/>
                <w:szCs w:val="16"/>
              </w:rPr>
              <w:t>etc</w:t>
            </w:r>
            <w:proofErr w:type="spellEnd"/>
            <w:r w:rsidRPr="00AB19D5">
              <w:rPr>
                <w:rFonts w:cstheme="minorHAnsi"/>
                <w:i/>
                <w:color w:val="365F91" w:themeColor="accent1" w:themeShade="BF"/>
                <w:sz w:val="16"/>
                <w:szCs w:val="16"/>
              </w:rPr>
              <w:t>).</w:t>
            </w:r>
          </w:p>
        </w:tc>
      </w:tr>
      <w:tr w:rsidR="005F554C" w:rsidRPr="00241698" w14:paraId="542B35FC" w14:textId="0825D9EB" w:rsidTr="00141D56">
        <w:trPr>
          <w:gridAfter w:val="1"/>
          <w:wAfter w:w="15" w:type="dxa"/>
          <w:trHeight w:val="353"/>
        </w:trPr>
        <w:tc>
          <w:tcPr>
            <w:tcW w:w="2909" w:type="dxa"/>
            <w:vMerge/>
            <w:tcBorders>
              <w:bottom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2C625A34" w14:textId="77777777" w:rsidR="005F554C" w:rsidRDefault="005F554C" w:rsidP="005F554C">
            <w:pPr>
              <w:spacing w:before="60"/>
              <w:rPr>
                <w:b/>
              </w:rPr>
            </w:pPr>
          </w:p>
        </w:tc>
        <w:tc>
          <w:tcPr>
            <w:tcW w:w="5371" w:type="dxa"/>
            <w:gridSpan w:val="2"/>
            <w:tcBorders>
              <w:top w:val="single" w:sz="4" w:space="0" w:color="BFBFBF" w:themeColor="background1" w:themeShade="BF"/>
              <w:right w:val="single" w:sz="4" w:space="0" w:color="BFBFBF" w:themeColor="background1" w:themeShade="BF"/>
            </w:tcBorders>
            <w:vAlign w:val="center"/>
          </w:tcPr>
          <w:p w14:paraId="59D8E613" w14:textId="77777777" w:rsidR="005F554C" w:rsidRDefault="00E871E1" w:rsidP="005F554C">
            <w:proofErr w:type="spellStart"/>
            <w:r>
              <w:t>Symron</w:t>
            </w:r>
            <w:proofErr w:type="spellEnd"/>
            <w:r>
              <w:t xml:space="preserve"> Bansal</w:t>
            </w:r>
          </w:p>
          <w:p w14:paraId="2F25D2E1" w14:textId="48850F35" w:rsidR="00E871E1" w:rsidRPr="00241698" w:rsidRDefault="00E871E1" w:rsidP="005F554C">
            <w:r>
              <w:t>Shudong Li</w:t>
            </w:r>
          </w:p>
        </w:tc>
        <w:tc>
          <w:tcPr>
            <w:tcW w:w="1820" w:type="dxa"/>
            <w:gridSpan w:val="3"/>
            <w:tcBorders>
              <w:top w:val="single" w:sz="4" w:space="0" w:color="BFBFBF" w:themeColor="background1" w:themeShade="BF"/>
              <w:left w:val="single" w:sz="4" w:space="0" w:color="BFBFBF" w:themeColor="background1" w:themeShade="BF"/>
            </w:tcBorders>
            <w:vAlign w:val="center"/>
          </w:tcPr>
          <w:p w14:paraId="5917D8A7" w14:textId="72ACA08F" w:rsidR="005F554C" w:rsidRPr="00241698" w:rsidRDefault="00E871E1" w:rsidP="00E871E1">
            <w:pPr>
              <w:spacing w:before="60"/>
            </w:pPr>
            <w:r>
              <w:t>2017-07-21</w:t>
            </w:r>
          </w:p>
        </w:tc>
      </w:tr>
      <w:tr w:rsidR="005F554C" w14:paraId="7B686AFC" w14:textId="77777777" w:rsidTr="002619EF">
        <w:trPr>
          <w:trHeight w:val="354"/>
        </w:trPr>
        <w:tc>
          <w:tcPr>
            <w:tcW w:w="2909" w:type="dxa"/>
            <w:vMerge w:val="restart"/>
            <w:tcBorders>
              <w:top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4AE046F7" w14:textId="0A261F37" w:rsidR="005F554C" w:rsidRDefault="005F554C" w:rsidP="005F554C">
            <w:pPr>
              <w:spacing w:before="60"/>
              <w:rPr>
                <w:b/>
              </w:rPr>
            </w:pPr>
            <w:r>
              <w:rPr>
                <w:b/>
              </w:rPr>
              <w:t>Other ICES Project Team Members and date joined (list all):</w:t>
            </w:r>
          </w:p>
        </w:tc>
        <w:tc>
          <w:tcPr>
            <w:tcW w:w="7206" w:type="dxa"/>
            <w:gridSpan w:val="6"/>
            <w:tcBorders>
              <w:top w:val="single" w:sz="4" w:space="0" w:color="A6A6A6" w:themeColor="background1" w:themeShade="A6"/>
              <w:left w:val="single" w:sz="4" w:space="0" w:color="A6A6A6" w:themeColor="background1" w:themeShade="A6"/>
              <w:bottom w:val="single" w:sz="4" w:space="0" w:color="999999"/>
            </w:tcBorders>
            <w:shd w:val="pct15" w:color="auto" w:fill="auto"/>
            <w:vAlign w:val="center"/>
          </w:tcPr>
          <w:p w14:paraId="190F4F78" w14:textId="4D56A6E6" w:rsidR="005F554C" w:rsidRPr="00BE46DA" w:rsidRDefault="005F554C" w:rsidP="005F554C">
            <w:pPr>
              <w:spacing w:before="60"/>
              <w:rPr>
                <w:i/>
                <w:color w:val="548DD4" w:themeColor="text2" w:themeTint="99"/>
              </w:rPr>
            </w:pPr>
            <w:r>
              <w:rPr>
                <w:i/>
                <w:color w:val="365F91" w:themeColor="accent1" w:themeShade="BF"/>
                <w:sz w:val="16"/>
              </w:rPr>
              <w:t xml:space="preserve">All other Research Project Team Members (e.g., Research Administrative Assistants, Research Assistants, Project Managers, Epidemiologists) </w:t>
            </w:r>
            <w:r w:rsidRPr="008B206D">
              <w:rPr>
                <w:i/>
                <w:color w:val="365F91" w:themeColor="accent1" w:themeShade="BF"/>
                <w:sz w:val="16"/>
                <w:u w:val="single"/>
              </w:rPr>
              <w:t>and the date they joined the project</w:t>
            </w:r>
            <w:r>
              <w:rPr>
                <w:i/>
                <w:color w:val="365F91" w:themeColor="accent1" w:themeShade="BF"/>
                <w:sz w:val="16"/>
              </w:rPr>
              <w:t xml:space="preserve"> must be recorded</w:t>
            </w:r>
          </w:p>
        </w:tc>
      </w:tr>
      <w:tr w:rsidR="005F554C" w14:paraId="01275E08" w14:textId="77777777" w:rsidTr="009968F4">
        <w:trPr>
          <w:trHeight w:val="353"/>
        </w:trPr>
        <w:tc>
          <w:tcPr>
            <w:tcW w:w="2909" w:type="dxa"/>
            <w:vMerge/>
            <w:tcBorders>
              <w:bottom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6FDD2ED2" w14:textId="77777777" w:rsidR="005F554C" w:rsidRDefault="005F554C" w:rsidP="005F554C">
            <w:pPr>
              <w:spacing w:before="60"/>
              <w:rPr>
                <w:b/>
              </w:rPr>
            </w:pPr>
          </w:p>
        </w:tc>
        <w:tc>
          <w:tcPr>
            <w:tcW w:w="5386" w:type="dxa"/>
            <w:gridSpan w:val="3"/>
            <w:tcBorders>
              <w:top w:val="single" w:sz="4" w:space="0" w:color="999999"/>
              <w:left w:val="single" w:sz="4" w:space="0" w:color="A6A6A6" w:themeColor="background1" w:themeShade="A6"/>
              <w:bottom w:val="single" w:sz="4" w:space="0" w:color="A6A6A6" w:themeColor="background1" w:themeShade="A6"/>
            </w:tcBorders>
            <w:shd w:val="clear" w:color="auto" w:fill="auto"/>
            <w:vAlign w:val="center"/>
          </w:tcPr>
          <w:p w14:paraId="417E0F46" w14:textId="77777777" w:rsidR="005F554C" w:rsidRDefault="00E871E1" w:rsidP="005F554C">
            <w:pPr>
              <w:spacing w:before="60"/>
            </w:pPr>
            <w:r>
              <w:t>Lisa Ishiguro</w:t>
            </w:r>
          </w:p>
          <w:p w14:paraId="7231C2C8" w14:textId="77777777" w:rsidR="00E871E1" w:rsidRDefault="00E871E1" w:rsidP="005F554C">
            <w:pPr>
              <w:spacing w:before="60"/>
            </w:pPr>
            <w:r>
              <w:t>Stefana Jovanovska</w:t>
            </w:r>
          </w:p>
          <w:p w14:paraId="7CFB52CC" w14:textId="56E90DC8" w:rsidR="00E871E1" w:rsidRPr="00241698" w:rsidRDefault="00E871E1" w:rsidP="005F554C">
            <w:pPr>
              <w:spacing w:before="60"/>
            </w:pPr>
            <w:proofErr w:type="spellStart"/>
            <w:r>
              <w:t>Azmina</w:t>
            </w:r>
            <w:proofErr w:type="spellEnd"/>
            <w:r>
              <w:t xml:space="preserve"> Altaf</w:t>
            </w:r>
          </w:p>
        </w:tc>
        <w:tc>
          <w:tcPr>
            <w:tcW w:w="1820" w:type="dxa"/>
            <w:gridSpan w:val="3"/>
            <w:tcBorders>
              <w:top w:val="single" w:sz="4" w:space="0" w:color="999999"/>
              <w:left w:val="single" w:sz="4" w:space="0" w:color="A6A6A6" w:themeColor="background1" w:themeShade="A6"/>
              <w:bottom w:val="single" w:sz="4" w:space="0" w:color="A6A6A6" w:themeColor="background1" w:themeShade="A6"/>
            </w:tcBorders>
            <w:shd w:val="clear" w:color="auto" w:fill="auto"/>
            <w:vAlign w:val="center"/>
          </w:tcPr>
          <w:p w14:paraId="51F6DCBF" w14:textId="7C7D151A" w:rsidR="005F554C" w:rsidRDefault="00E871E1" w:rsidP="005F554C">
            <w:pPr>
              <w:spacing w:before="60"/>
            </w:pPr>
            <w:r>
              <w:t>2017-02-22</w:t>
            </w:r>
          </w:p>
          <w:p w14:paraId="38F8708B" w14:textId="6FCB88C4" w:rsidR="00E871E1" w:rsidRDefault="00E871E1" w:rsidP="005F554C">
            <w:pPr>
              <w:spacing w:before="60"/>
            </w:pPr>
            <w:r>
              <w:t>2017-02-22</w:t>
            </w:r>
          </w:p>
          <w:p w14:paraId="135A1013" w14:textId="5F035B99" w:rsidR="00E871E1" w:rsidRPr="00241698" w:rsidRDefault="00E871E1" w:rsidP="005F554C">
            <w:pPr>
              <w:spacing w:before="60"/>
            </w:pPr>
            <w:r>
              <w:t>2021-09-01</w:t>
            </w:r>
          </w:p>
        </w:tc>
      </w:tr>
      <w:tr w:rsidR="005F554C" w14:paraId="4698A137" w14:textId="77777777" w:rsidTr="00241698">
        <w:tc>
          <w:tcPr>
            <w:tcW w:w="2909" w:type="dxa"/>
            <w:vMerge w:val="restart"/>
            <w:tcBorders>
              <w:top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1FA3BD62" w14:textId="3DD5A159" w:rsidR="005F554C" w:rsidRDefault="005F554C" w:rsidP="005F554C">
            <w:pPr>
              <w:spacing w:before="60"/>
              <w:rPr>
                <w:b/>
              </w:rPr>
            </w:pPr>
            <w:r>
              <w:rPr>
                <w:b/>
              </w:rPr>
              <w:t>Confirmation that DCP is consistent with Project Objectives:</w:t>
            </w:r>
          </w:p>
        </w:tc>
        <w:tc>
          <w:tcPr>
            <w:tcW w:w="7206" w:type="dxa"/>
            <w:gridSpan w:val="6"/>
            <w:tcBorders>
              <w:top w:val="single" w:sz="4" w:space="0" w:color="A6A6A6" w:themeColor="background1" w:themeShade="A6"/>
              <w:left w:val="single" w:sz="4" w:space="0" w:color="A6A6A6" w:themeColor="background1" w:themeShade="A6"/>
              <w:bottom w:val="single" w:sz="4" w:space="0" w:color="999999"/>
            </w:tcBorders>
            <w:shd w:val="pct15" w:color="auto" w:fill="auto"/>
            <w:vAlign w:val="center"/>
          </w:tcPr>
          <w:p w14:paraId="67A52C12" w14:textId="3F4E8DB0" w:rsidR="005F554C" w:rsidRPr="00966F48" w:rsidRDefault="005F554C" w:rsidP="005F554C">
            <w:pPr>
              <w:spacing w:before="60"/>
              <w:rPr>
                <w:i/>
                <w:color w:val="548DD4" w:themeColor="text2" w:themeTint="99"/>
              </w:rPr>
            </w:pPr>
            <w:r>
              <w:rPr>
                <w:i/>
                <w:color w:val="365F91" w:themeColor="accent1" w:themeShade="BF"/>
                <w:sz w:val="16"/>
              </w:rPr>
              <w:t xml:space="preserve">The following individuals </w:t>
            </w:r>
            <w:r w:rsidRPr="001433F4">
              <w:rPr>
                <w:i/>
                <w:color w:val="365F91" w:themeColor="accent1" w:themeShade="BF"/>
                <w:sz w:val="16"/>
              </w:rPr>
              <w:t xml:space="preserve">must confirm that </w:t>
            </w:r>
            <w:r>
              <w:rPr>
                <w:i/>
                <w:color w:val="365F91" w:themeColor="accent1" w:themeShade="BF"/>
                <w:sz w:val="16"/>
              </w:rPr>
              <w:t xml:space="preserve">the ICES Data provided for in </w:t>
            </w:r>
            <w:r w:rsidRPr="001433F4">
              <w:rPr>
                <w:i/>
                <w:color w:val="365F91" w:themeColor="accent1" w:themeShade="BF"/>
                <w:sz w:val="16"/>
              </w:rPr>
              <w:t xml:space="preserve">this DCP is relevant (e.g., with respect to cohort, timeframe, and variables) and required to achieve the </w:t>
            </w:r>
            <w:r w:rsidR="00E52520">
              <w:rPr>
                <w:i/>
                <w:color w:val="365F91" w:themeColor="accent1" w:themeShade="BF"/>
                <w:sz w:val="16"/>
              </w:rPr>
              <w:t>purpose(s)</w:t>
            </w:r>
            <w:r w:rsidRPr="001433F4">
              <w:rPr>
                <w:i/>
                <w:color w:val="365F91" w:themeColor="accent1" w:themeShade="BF"/>
                <w:sz w:val="16"/>
              </w:rPr>
              <w:t xml:space="preserve"> stated in the</w:t>
            </w:r>
            <w:r>
              <w:rPr>
                <w:i/>
                <w:color w:val="365F91" w:themeColor="accent1" w:themeShade="BF"/>
                <w:sz w:val="16"/>
              </w:rPr>
              <w:t xml:space="preserve"> ICES Project </w:t>
            </w:r>
            <w:r w:rsidRPr="001433F4">
              <w:rPr>
                <w:i/>
                <w:color w:val="365F91" w:themeColor="accent1" w:themeShade="BF"/>
                <w:sz w:val="16"/>
              </w:rPr>
              <w:t xml:space="preserve">PIA </w:t>
            </w:r>
            <w:r w:rsidRPr="007F37C0">
              <w:rPr>
                <w:i/>
                <w:color w:val="365F91" w:themeColor="accent1" w:themeShade="BF"/>
                <w:sz w:val="16"/>
                <w:u w:val="single"/>
              </w:rPr>
              <w:t xml:space="preserve">prior to </w:t>
            </w:r>
            <w:r>
              <w:rPr>
                <w:i/>
                <w:color w:val="365F91" w:themeColor="accent1" w:themeShade="BF"/>
                <w:sz w:val="16"/>
                <w:u w:val="single"/>
              </w:rPr>
              <w:t xml:space="preserve">initial </w:t>
            </w:r>
            <w:r w:rsidRPr="007F37C0">
              <w:rPr>
                <w:i/>
                <w:color w:val="365F91" w:themeColor="accent1" w:themeShade="BF"/>
                <w:sz w:val="16"/>
                <w:u w:val="single"/>
              </w:rPr>
              <w:t xml:space="preserve">Project Dataset </w:t>
            </w:r>
            <w:r w:rsidRPr="003A2F39">
              <w:rPr>
                <w:i/>
                <w:color w:val="365F91" w:themeColor="accent1" w:themeShade="BF"/>
                <w:sz w:val="16"/>
                <w:u w:val="single"/>
              </w:rPr>
              <w:t>creation</w:t>
            </w:r>
            <w:r>
              <w:rPr>
                <w:i/>
                <w:color w:val="365F91" w:themeColor="accent1" w:themeShade="BF"/>
                <w:sz w:val="16"/>
              </w:rPr>
              <w:t xml:space="preserve">: 1) PI; 2) </w:t>
            </w:r>
            <w:r w:rsidRPr="001433F4">
              <w:rPr>
                <w:i/>
                <w:color w:val="365F91" w:themeColor="accent1" w:themeShade="BF"/>
                <w:sz w:val="16"/>
              </w:rPr>
              <w:t>Responsible ICES Scientist if the PI is not a Full Status ICES Scientist</w:t>
            </w:r>
            <w:r>
              <w:rPr>
                <w:i/>
                <w:color w:val="365F91" w:themeColor="accent1" w:themeShade="BF"/>
                <w:sz w:val="16"/>
              </w:rPr>
              <w:t>, or a second ICES Scientist or the Scientific Program Lead if the PI is creating both the DCP and the Project Dataset[s]; 3) ICES Research and Analysis Staff creating the DCP;</w:t>
            </w:r>
            <w:r w:rsidRPr="001433F4">
              <w:rPr>
                <w:i/>
                <w:color w:val="365F91" w:themeColor="accent1" w:themeShade="BF"/>
                <w:sz w:val="16"/>
              </w:rPr>
              <w:t xml:space="preserve"> and </w:t>
            </w:r>
            <w:r>
              <w:rPr>
                <w:i/>
                <w:color w:val="365F91" w:themeColor="accent1" w:themeShade="BF"/>
                <w:sz w:val="16"/>
              </w:rPr>
              <w:t xml:space="preserve">4) </w:t>
            </w:r>
            <w:r w:rsidRPr="001433F4">
              <w:rPr>
                <w:i/>
                <w:color w:val="365F91" w:themeColor="accent1" w:themeShade="BF"/>
                <w:sz w:val="16"/>
              </w:rPr>
              <w:t>ICES Analytic Staff (ICES Employee or agent responsible for c</w:t>
            </w:r>
            <w:r>
              <w:rPr>
                <w:i/>
                <w:color w:val="365F91" w:themeColor="accent1" w:themeShade="BF"/>
                <w:sz w:val="16"/>
              </w:rPr>
              <w:t xml:space="preserve">reating the Project Dataset[s]). </w:t>
            </w:r>
            <w:r w:rsidR="008A2DCB">
              <w:rPr>
                <w:i/>
                <w:color w:val="365F91" w:themeColor="accent1" w:themeShade="BF"/>
                <w:sz w:val="16"/>
              </w:rPr>
              <w:t>Documentation of this confirmat</w:t>
            </w:r>
            <w:r w:rsidR="00803B91">
              <w:rPr>
                <w:i/>
                <w:color w:val="365F91" w:themeColor="accent1" w:themeShade="BF"/>
                <w:sz w:val="16"/>
              </w:rPr>
              <w:t>ion</w:t>
            </w:r>
            <w:r>
              <w:rPr>
                <w:i/>
                <w:color w:val="365F91" w:themeColor="accent1" w:themeShade="BF"/>
                <w:sz w:val="16"/>
              </w:rPr>
              <w:t xml:space="preserve"> may be delegated either verbally or via e-mail.</w:t>
            </w:r>
          </w:p>
        </w:tc>
      </w:tr>
      <w:tr w:rsidR="005F554C" w14:paraId="0AD610F0" w14:textId="77777777" w:rsidTr="00A35865">
        <w:tc>
          <w:tcPr>
            <w:tcW w:w="2909" w:type="dxa"/>
            <w:vMerge/>
            <w:tcBorders>
              <w:right w:val="single" w:sz="4" w:space="0" w:color="A6A6A6" w:themeColor="background1" w:themeShade="A6"/>
            </w:tcBorders>
            <w:noWrap/>
            <w:tcMar>
              <w:top w:w="15" w:type="dxa"/>
              <w:left w:w="15" w:type="dxa"/>
              <w:bottom w:w="0" w:type="dxa"/>
              <w:right w:w="15" w:type="dxa"/>
            </w:tcMar>
          </w:tcPr>
          <w:p w14:paraId="69CE791E" w14:textId="77777777" w:rsidR="005F554C" w:rsidRDefault="005F554C" w:rsidP="005F554C">
            <w:pPr>
              <w:spacing w:before="60"/>
              <w:rPr>
                <w:b/>
              </w:rPr>
            </w:pPr>
          </w:p>
        </w:tc>
        <w:tc>
          <w:tcPr>
            <w:tcW w:w="4666" w:type="dxa"/>
            <w:tcBorders>
              <w:top w:val="single" w:sz="4" w:space="0" w:color="999999"/>
              <w:left w:val="single" w:sz="4" w:space="0" w:color="A6A6A6" w:themeColor="background1" w:themeShade="A6"/>
              <w:bottom w:val="single" w:sz="4" w:space="0" w:color="999999"/>
            </w:tcBorders>
            <w:vAlign w:val="bottom"/>
          </w:tcPr>
          <w:p w14:paraId="310952B9" w14:textId="1BF4E625" w:rsidR="005F554C" w:rsidRDefault="005F554C" w:rsidP="005F554C">
            <w:pPr>
              <w:spacing w:before="60"/>
              <w:rPr>
                <w:b/>
                <w:i/>
              </w:rPr>
            </w:pPr>
            <w:r>
              <w:rPr>
                <w:b/>
                <w:i/>
              </w:rPr>
              <w:t>Principal Investigator</w:t>
            </w:r>
          </w:p>
        </w:tc>
        <w:tc>
          <w:tcPr>
            <w:tcW w:w="738" w:type="dxa"/>
            <w:gridSpan w:val="3"/>
            <w:tcBorders>
              <w:top w:val="single" w:sz="4" w:space="0" w:color="999999"/>
              <w:bottom w:val="single" w:sz="4" w:space="0" w:color="999999"/>
            </w:tcBorders>
            <w:vAlign w:val="bottom"/>
          </w:tcPr>
          <w:sdt>
            <w:sdtPr>
              <w:id w:val="1227190096"/>
              <w14:checkbox>
                <w14:checked w14:val="1"/>
                <w14:checkedState w14:val="2612" w14:font="MS Gothic"/>
                <w14:uncheckedState w14:val="2610" w14:font="MS Gothic"/>
              </w14:checkbox>
            </w:sdtPr>
            <w:sdtEndPr/>
            <w:sdtContent>
              <w:p w14:paraId="41DAA84E" w14:textId="417A47C2" w:rsidR="005F554C" w:rsidRPr="00453826" w:rsidRDefault="00E871E1" w:rsidP="005F554C">
                <w:pPr>
                  <w:spacing w:before="60"/>
                  <w:jc w:val="center"/>
                  <w:rPr>
                    <w:b/>
                    <w:i/>
                  </w:rPr>
                </w:pPr>
                <w:r>
                  <w:rPr>
                    <w:rFonts w:ascii="MS Gothic" w:eastAsia="MS Gothic" w:hAnsi="MS Gothic" w:hint="eastAsia"/>
                  </w:rPr>
                  <w:t>☒</w:t>
                </w:r>
              </w:p>
            </w:sdtContent>
          </w:sdt>
        </w:tc>
        <w:tc>
          <w:tcPr>
            <w:tcW w:w="1802" w:type="dxa"/>
            <w:gridSpan w:val="2"/>
            <w:tcBorders>
              <w:top w:val="single" w:sz="4" w:space="0" w:color="999999"/>
              <w:bottom w:val="single" w:sz="4" w:space="0" w:color="999999"/>
            </w:tcBorders>
            <w:vAlign w:val="bottom"/>
          </w:tcPr>
          <w:p w14:paraId="4DB744C5" w14:textId="77B471AB" w:rsidR="005F554C" w:rsidRPr="00453826" w:rsidRDefault="00E871E1" w:rsidP="005F554C">
            <w:pPr>
              <w:spacing w:before="60"/>
              <w:rPr>
                <w:b/>
                <w:i/>
              </w:rPr>
            </w:pPr>
            <w:r>
              <w:t>2017-07-21</w:t>
            </w:r>
          </w:p>
        </w:tc>
      </w:tr>
      <w:tr w:rsidR="005F554C" w14:paraId="121BBDA9" w14:textId="77777777" w:rsidTr="00A35865">
        <w:tc>
          <w:tcPr>
            <w:tcW w:w="2909" w:type="dxa"/>
            <w:vMerge/>
            <w:tcBorders>
              <w:right w:val="single" w:sz="4" w:space="0" w:color="A6A6A6" w:themeColor="background1" w:themeShade="A6"/>
            </w:tcBorders>
            <w:noWrap/>
            <w:tcMar>
              <w:top w:w="15" w:type="dxa"/>
              <w:left w:w="15" w:type="dxa"/>
              <w:bottom w:w="0" w:type="dxa"/>
              <w:right w:w="15" w:type="dxa"/>
            </w:tcMar>
          </w:tcPr>
          <w:p w14:paraId="686DA813" w14:textId="77777777" w:rsidR="005F554C" w:rsidRDefault="005F554C" w:rsidP="005F554C">
            <w:pPr>
              <w:spacing w:before="60"/>
              <w:rPr>
                <w:b/>
              </w:rPr>
            </w:pPr>
          </w:p>
        </w:tc>
        <w:tc>
          <w:tcPr>
            <w:tcW w:w="4666" w:type="dxa"/>
            <w:tcBorders>
              <w:top w:val="single" w:sz="4" w:space="0" w:color="999999"/>
              <w:left w:val="single" w:sz="4" w:space="0" w:color="A6A6A6" w:themeColor="background1" w:themeShade="A6"/>
              <w:bottom w:val="single" w:sz="4" w:space="0" w:color="999999"/>
            </w:tcBorders>
            <w:vAlign w:val="bottom"/>
          </w:tcPr>
          <w:p w14:paraId="706AFBA1" w14:textId="6032A0D4" w:rsidR="005F554C" w:rsidRPr="00453826" w:rsidRDefault="005F554C" w:rsidP="005F554C">
            <w:pPr>
              <w:spacing w:before="60"/>
              <w:rPr>
                <w:b/>
                <w:i/>
              </w:rPr>
            </w:pPr>
            <w:r w:rsidRPr="00453826">
              <w:rPr>
                <w:b/>
                <w:i/>
              </w:rPr>
              <w:t>Responsible ICES Scientist</w:t>
            </w:r>
            <w:r>
              <w:rPr>
                <w:b/>
                <w:i/>
              </w:rPr>
              <w:t xml:space="preserve"> or Second ICES Scientist/Lead</w:t>
            </w:r>
          </w:p>
        </w:tc>
        <w:tc>
          <w:tcPr>
            <w:tcW w:w="720" w:type="dxa"/>
            <w:gridSpan w:val="2"/>
            <w:tcBorders>
              <w:top w:val="single" w:sz="4" w:space="0" w:color="999999"/>
              <w:bottom w:val="single" w:sz="4" w:space="0" w:color="999999"/>
            </w:tcBorders>
            <w:vAlign w:val="bottom"/>
          </w:tcPr>
          <w:sdt>
            <w:sdtPr>
              <w:id w:val="-122613993"/>
              <w14:checkbox>
                <w14:checked w14:val="1"/>
                <w14:checkedState w14:val="2612" w14:font="MS Gothic"/>
                <w14:uncheckedState w14:val="2610" w14:font="MS Gothic"/>
              </w14:checkbox>
            </w:sdtPr>
            <w:sdtEndPr/>
            <w:sdtContent>
              <w:p w14:paraId="356CC7D1" w14:textId="448E16C2" w:rsidR="005F554C" w:rsidRPr="00453826" w:rsidRDefault="00E871E1" w:rsidP="005F554C">
                <w:pPr>
                  <w:spacing w:before="60"/>
                  <w:jc w:val="center"/>
                  <w:rPr>
                    <w:b/>
                    <w:i/>
                  </w:rPr>
                </w:pPr>
                <w:r>
                  <w:rPr>
                    <w:rFonts w:ascii="MS Gothic" w:eastAsia="MS Gothic" w:hAnsi="MS Gothic" w:hint="eastAsia"/>
                  </w:rPr>
                  <w:t>☒</w:t>
                </w:r>
              </w:p>
            </w:sdtContent>
          </w:sdt>
        </w:tc>
        <w:tc>
          <w:tcPr>
            <w:tcW w:w="1820" w:type="dxa"/>
            <w:gridSpan w:val="3"/>
            <w:tcBorders>
              <w:top w:val="single" w:sz="4" w:space="0" w:color="999999"/>
              <w:bottom w:val="single" w:sz="4" w:space="0" w:color="999999"/>
            </w:tcBorders>
            <w:vAlign w:val="bottom"/>
          </w:tcPr>
          <w:p w14:paraId="51D5CCB9" w14:textId="7520944C" w:rsidR="005F554C" w:rsidRPr="00453826" w:rsidRDefault="00E871E1" w:rsidP="005F554C">
            <w:pPr>
              <w:spacing w:before="60"/>
              <w:rPr>
                <w:b/>
                <w:i/>
              </w:rPr>
            </w:pPr>
            <w:r>
              <w:t>2017-07-21</w:t>
            </w:r>
          </w:p>
        </w:tc>
      </w:tr>
      <w:tr w:rsidR="00E871E1" w14:paraId="7A2B8EC3" w14:textId="77777777" w:rsidTr="001355CC">
        <w:tc>
          <w:tcPr>
            <w:tcW w:w="2909" w:type="dxa"/>
            <w:vMerge/>
            <w:tcBorders>
              <w:right w:val="single" w:sz="4" w:space="0" w:color="A6A6A6" w:themeColor="background1" w:themeShade="A6"/>
            </w:tcBorders>
            <w:noWrap/>
            <w:tcMar>
              <w:top w:w="15" w:type="dxa"/>
              <w:left w:w="15" w:type="dxa"/>
              <w:bottom w:w="0" w:type="dxa"/>
              <w:right w:w="15" w:type="dxa"/>
            </w:tcMar>
          </w:tcPr>
          <w:p w14:paraId="6DC48E40" w14:textId="77777777" w:rsidR="00E871E1" w:rsidRDefault="00E871E1" w:rsidP="00E871E1">
            <w:pPr>
              <w:spacing w:before="60"/>
              <w:rPr>
                <w:b/>
              </w:rPr>
            </w:pPr>
          </w:p>
        </w:tc>
        <w:tc>
          <w:tcPr>
            <w:tcW w:w="4666" w:type="dxa"/>
            <w:tcBorders>
              <w:top w:val="single" w:sz="4" w:space="0" w:color="999999"/>
              <w:left w:val="single" w:sz="4" w:space="0" w:color="A6A6A6" w:themeColor="background1" w:themeShade="A6"/>
              <w:bottom w:val="single" w:sz="4" w:space="0" w:color="999999"/>
            </w:tcBorders>
            <w:vAlign w:val="bottom"/>
          </w:tcPr>
          <w:p w14:paraId="28921806" w14:textId="271F79D8" w:rsidR="00E871E1" w:rsidRPr="000D7F8F" w:rsidRDefault="00E871E1" w:rsidP="00E871E1">
            <w:pPr>
              <w:spacing w:before="60"/>
            </w:pPr>
            <w:r>
              <w:rPr>
                <w:b/>
                <w:i/>
              </w:rPr>
              <w:t>ICES Research and Analysis Staff Creating the DCP</w:t>
            </w:r>
          </w:p>
        </w:tc>
        <w:tc>
          <w:tcPr>
            <w:tcW w:w="720" w:type="dxa"/>
            <w:gridSpan w:val="2"/>
            <w:tcBorders>
              <w:top w:val="single" w:sz="4" w:space="0" w:color="999999"/>
              <w:bottom w:val="single" w:sz="4" w:space="0" w:color="999999"/>
            </w:tcBorders>
            <w:vAlign w:val="bottom"/>
          </w:tcPr>
          <w:sdt>
            <w:sdtPr>
              <w:id w:val="1653399938"/>
              <w14:checkbox>
                <w14:checked w14:val="1"/>
                <w14:checkedState w14:val="2612" w14:font="MS Gothic"/>
                <w14:uncheckedState w14:val="2610" w14:font="MS Gothic"/>
              </w14:checkbox>
            </w:sdtPr>
            <w:sdtContent>
              <w:p w14:paraId="69F25ED8" w14:textId="0B091CBA" w:rsidR="00E871E1" w:rsidRPr="000D7F8F" w:rsidRDefault="00E871E1" w:rsidP="00E871E1">
                <w:pPr>
                  <w:spacing w:before="60"/>
                  <w:jc w:val="center"/>
                </w:pPr>
                <w:r>
                  <w:rPr>
                    <w:rFonts w:ascii="MS Gothic" w:eastAsia="MS Gothic" w:hAnsi="MS Gothic" w:hint="eastAsia"/>
                  </w:rPr>
                  <w:t>☒</w:t>
                </w:r>
              </w:p>
            </w:sdtContent>
          </w:sdt>
        </w:tc>
        <w:tc>
          <w:tcPr>
            <w:tcW w:w="1820" w:type="dxa"/>
            <w:gridSpan w:val="3"/>
            <w:tcBorders>
              <w:top w:val="single" w:sz="4" w:space="0" w:color="999999"/>
              <w:bottom w:val="single" w:sz="4" w:space="0" w:color="999999"/>
            </w:tcBorders>
          </w:tcPr>
          <w:p w14:paraId="170D7419" w14:textId="70E186AB" w:rsidR="00E871E1" w:rsidRPr="000D7F8F" w:rsidRDefault="00E871E1" w:rsidP="00E871E1">
            <w:pPr>
              <w:spacing w:before="60"/>
            </w:pPr>
            <w:r w:rsidRPr="001E09CD">
              <w:t>2017-07-21</w:t>
            </w:r>
          </w:p>
        </w:tc>
      </w:tr>
      <w:tr w:rsidR="00E871E1" w14:paraId="0D045A9E" w14:textId="77777777" w:rsidTr="001355CC">
        <w:tc>
          <w:tcPr>
            <w:tcW w:w="2909" w:type="dxa"/>
            <w:vMerge/>
            <w:tcBorders>
              <w:bottom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3B65EB86" w14:textId="77777777" w:rsidR="00E871E1" w:rsidRDefault="00E871E1" w:rsidP="00E871E1">
            <w:pPr>
              <w:spacing w:before="60"/>
              <w:rPr>
                <w:b/>
              </w:rPr>
            </w:pPr>
          </w:p>
        </w:tc>
        <w:tc>
          <w:tcPr>
            <w:tcW w:w="4666" w:type="dxa"/>
            <w:tcBorders>
              <w:top w:val="single" w:sz="4" w:space="0" w:color="999999"/>
              <w:left w:val="single" w:sz="4" w:space="0" w:color="A6A6A6" w:themeColor="background1" w:themeShade="A6"/>
              <w:bottom w:val="single" w:sz="4" w:space="0" w:color="A6A6A6" w:themeColor="background1" w:themeShade="A6"/>
            </w:tcBorders>
            <w:vAlign w:val="center"/>
          </w:tcPr>
          <w:p w14:paraId="4D562680" w14:textId="523DEACE" w:rsidR="00E871E1" w:rsidRDefault="00E871E1" w:rsidP="00E871E1">
            <w:pPr>
              <w:spacing w:before="60"/>
            </w:pPr>
            <w:r w:rsidRPr="00453826">
              <w:rPr>
                <w:b/>
                <w:i/>
              </w:rPr>
              <w:t>ICES Analytic Staff</w:t>
            </w:r>
          </w:p>
        </w:tc>
        <w:tc>
          <w:tcPr>
            <w:tcW w:w="720" w:type="dxa"/>
            <w:gridSpan w:val="2"/>
            <w:tcBorders>
              <w:top w:val="single" w:sz="4" w:space="0" w:color="999999"/>
              <w:bottom w:val="single" w:sz="4" w:space="0" w:color="A6A6A6" w:themeColor="background1" w:themeShade="A6"/>
            </w:tcBorders>
            <w:vAlign w:val="bottom"/>
          </w:tcPr>
          <w:sdt>
            <w:sdtPr>
              <w:id w:val="1824161038"/>
              <w14:checkbox>
                <w14:checked w14:val="1"/>
                <w14:checkedState w14:val="2612" w14:font="MS Gothic"/>
                <w14:uncheckedState w14:val="2610" w14:font="MS Gothic"/>
              </w14:checkbox>
            </w:sdtPr>
            <w:sdtContent>
              <w:p w14:paraId="2D9C649B" w14:textId="56315B3D" w:rsidR="00E871E1" w:rsidRDefault="00E871E1" w:rsidP="00E871E1">
                <w:pPr>
                  <w:spacing w:before="60"/>
                  <w:jc w:val="center"/>
                </w:pPr>
                <w:r>
                  <w:rPr>
                    <w:rFonts w:ascii="MS Gothic" w:eastAsia="MS Gothic" w:hAnsi="MS Gothic" w:hint="eastAsia"/>
                  </w:rPr>
                  <w:t>☒</w:t>
                </w:r>
              </w:p>
            </w:sdtContent>
          </w:sdt>
        </w:tc>
        <w:tc>
          <w:tcPr>
            <w:tcW w:w="1820" w:type="dxa"/>
            <w:gridSpan w:val="3"/>
            <w:tcBorders>
              <w:top w:val="single" w:sz="4" w:space="0" w:color="999999"/>
              <w:bottom w:val="single" w:sz="4" w:space="0" w:color="A6A6A6" w:themeColor="background1" w:themeShade="A6"/>
            </w:tcBorders>
          </w:tcPr>
          <w:p w14:paraId="50093A09" w14:textId="4BDC5AC3" w:rsidR="00E871E1" w:rsidRDefault="00E871E1" w:rsidP="00E871E1">
            <w:pPr>
              <w:spacing w:before="60"/>
            </w:pPr>
            <w:r w:rsidRPr="001E09CD">
              <w:t>2017-07-21</w:t>
            </w:r>
          </w:p>
        </w:tc>
      </w:tr>
      <w:tr w:rsidR="005F554C" w14:paraId="6F8421A0" w14:textId="77777777" w:rsidTr="003933A9">
        <w:tc>
          <w:tcPr>
            <w:tcW w:w="2909" w:type="dxa"/>
            <w:vMerge w:val="restart"/>
            <w:tcBorders>
              <w:top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7A2A97E1" w14:textId="66749FD5" w:rsidR="005F554C" w:rsidRDefault="005F554C" w:rsidP="005F554C">
            <w:pPr>
              <w:spacing w:before="60"/>
              <w:rPr>
                <w:b/>
              </w:rPr>
            </w:pPr>
            <w:r>
              <w:rPr>
                <w:b/>
              </w:rPr>
              <w:t>D</w:t>
            </w:r>
            <w:r w:rsidRPr="00785E12">
              <w:rPr>
                <w:b/>
              </w:rPr>
              <w:t xml:space="preserve">esignated </w:t>
            </w:r>
            <w:r>
              <w:rPr>
                <w:b/>
              </w:rPr>
              <w:t>ICES Research and Analysis S</w:t>
            </w:r>
            <w:r w:rsidRPr="00785E12">
              <w:rPr>
                <w:b/>
              </w:rPr>
              <w:t xml:space="preserve">taff </w:t>
            </w:r>
            <w:r>
              <w:rPr>
                <w:b/>
              </w:rPr>
              <w:t>accountable for Project Documentation:</w:t>
            </w:r>
          </w:p>
        </w:tc>
        <w:tc>
          <w:tcPr>
            <w:tcW w:w="7206" w:type="dxa"/>
            <w:gridSpan w:val="6"/>
            <w:tcBorders>
              <w:top w:val="single" w:sz="4" w:space="0" w:color="A6A6A6" w:themeColor="background1" w:themeShade="A6"/>
              <w:left w:val="single" w:sz="4" w:space="0" w:color="A6A6A6" w:themeColor="background1" w:themeShade="A6"/>
              <w:bottom w:val="single" w:sz="4" w:space="0" w:color="999999"/>
            </w:tcBorders>
            <w:shd w:val="pct15" w:color="auto" w:fill="auto"/>
          </w:tcPr>
          <w:p w14:paraId="4F118E12" w14:textId="4B21FCC3" w:rsidR="005F554C" w:rsidRPr="00713958" w:rsidRDefault="005F554C" w:rsidP="005F554C">
            <w:pPr>
              <w:spacing w:before="60"/>
            </w:pPr>
            <w:r>
              <w:rPr>
                <w:i/>
                <w:color w:val="365F91" w:themeColor="accent1" w:themeShade="BF"/>
                <w:sz w:val="16"/>
              </w:rPr>
              <w:t>The person named (ICES staff</w:t>
            </w:r>
            <w:r w:rsidRPr="00453826">
              <w:rPr>
                <w:i/>
                <w:color w:val="365F91" w:themeColor="accent1" w:themeShade="BF"/>
                <w:sz w:val="16"/>
              </w:rPr>
              <w:t>)</w:t>
            </w:r>
            <w:r>
              <w:rPr>
                <w:i/>
                <w:color w:val="365F91" w:themeColor="accent1" w:themeShade="BF"/>
                <w:sz w:val="16"/>
              </w:rPr>
              <w:t xml:space="preserve"> </w:t>
            </w:r>
            <w:r w:rsidRPr="00453826">
              <w:rPr>
                <w:i/>
                <w:color w:val="365F91" w:themeColor="accent1" w:themeShade="BF"/>
                <w:sz w:val="16"/>
              </w:rPr>
              <w:t xml:space="preserve">is </w:t>
            </w:r>
            <w:r>
              <w:rPr>
                <w:i/>
                <w:color w:val="365F91" w:themeColor="accent1" w:themeShade="BF"/>
                <w:sz w:val="16"/>
              </w:rPr>
              <w:t>accountable</w:t>
            </w:r>
            <w:r w:rsidRPr="00453826">
              <w:rPr>
                <w:i/>
                <w:color w:val="365F91" w:themeColor="accent1" w:themeShade="BF"/>
                <w:sz w:val="16"/>
              </w:rPr>
              <w:t xml:space="preserve"> for ensuring that the approved </w:t>
            </w:r>
            <w:r>
              <w:rPr>
                <w:i/>
                <w:color w:val="365F91" w:themeColor="accent1" w:themeShade="BF"/>
                <w:sz w:val="16"/>
              </w:rPr>
              <w:t xml:space="preserve">ICES Project </w:t>
            </w:r>
            <w:r w:rsidRPr="00453826">
              <w:rPr>
                <w:i/>
                <w:color w:val="365F91" w:themeColor="accent1" w:themeShade="BF"/>
                <w:sz w:val="16"/>
              </w:rPr>
              <w:t xml:space="preserve">PIA, </w:t>
            </w:r>
            <w:r>
              <w:rPr>
                <w:i/>
                <w:color w:val="365F91" w:themeColor="accent1" w:themeShade="BF"/>
                <w:sz w:val="16"/>
              </w:rPr>
              <w:t>ICES Project PIA Amendment</w:t>
            </w:r>
            <w:r w:rsidRPr="00453826">
              <w:rPr>
                <w:i/>
                <w:color w:val="365F91" w:themeColor="accent1" w:themeShade="BF"/>
                <w:sz w:val="16"/>
              </w:rPr>
              <w:t xml:space="preserve">s, and DCP are saved on the T Drive, ensuring </w:t>
            </w:r>
            <w:r>
              <w:rPr>
                <w:i/>
                <w:color w:val="365F91" w:themeColor="accent1" w:themeShade="BF"/>
                <w:sz w:val="16"/>
              </w:rPr>
              <w:t>ICES Project PIA Amendment</w:t>
            </w:r>
            <w:r w:rsidRPr="00453826">
              <w:rPr>
                <w:i/>
                <w:color w:val="365F91" w:themeColor="accent1" w:themeShade="BF"/>
                <w:sz w:val="16"/>
              </w:rPr>
              <w:t>s are submitted as required, ensuring DCP Amendments are documented, and sharing the final DCP with the PI/Responsible ICES Scientist at project completion</w:t>
            </w:r>
          </w:p>
        </w:tc>
      </w:tr>
      <w:tr w:rsidR="005F554C" w14:paraId="7F958D77" w14:textId="77777777" w:rsidTr="000D7F8F">
        <w:tc>
          <w:tcPr>
            <w:tcW w:w="2909" w:type="dxa"/>
            <w:vMerge/>
            <w:tcBorders>
              <w:bottom w:val="single" w:sz="4" w:space="0" w:color="999999"/>
              <w:right w:val="single" w:sz="4" w:space="0" w:color="A6A6A6" w:themeColor="background1" w:themeShade="A6"/>
            </w:tcBorders>
            <w:noWrap/>
            <w:tcMar>
              <w:top w:w="15" w:type="dxa"/>
              <w:left w:w="15" w:type="dxa"/>
              <w:bottom w:w="0" w:type="dxa"/>
              <w:right w:w="15" w:type="dxa"/>
            </w:tcMar>
          </w:tcPr>
          <w:p w14:paraId="3B0AF634" w14:textId="77777777" w:rsidR="005F554C" w:rsidRDefault="005F554C" w:rsidP="005F554C">
            <w:pPr>
              <w:spacing w:before="60"/>
              <w:rPr>
                <w:b/>
              </w:rPr>
            </w:pPr>
          </w:p>
        </w:tc>
        <w:tc>
          <w:tcPr>
            <w:tcW w:w="7206" w:type="dxa"/>
            <w:gridSpan w:val="6"/>
            <w:tcBorders>
              <w:top w:val="single" w:sz="4" w:space="0" w:color="999999"/>
              <w:left w:val="single" w:sz="4" w:space="0" w:color="A6A6A6" w:themeColor="background1" w:themeShade="A6"/>
              <w:bottom w:val="single" w:sz="4" w:space="0" w:color="999999"/>
            </w:tcBorders>
          </w:tcPr>
          <w:p w14:paraId="2E940521" w14:textId="6B046B18" w:rsidR="005F554C" w:rsidRPr="00D516C3" w:rsidRDefault="00E871E1" w:rsidP="005F554C">
            <w:pPr>
              <w:spacing w:before="60"/>
            </w:pPr>
            <w:r>
              <w:t>Shudong Li</w:t>
            </w:r>
          </w:p>
        </w:tc>
      </w:tr>
    </w:tbl>
    <w:p w14:paraId="2624B092" w14:textId="77777777" w:rsidR="000267F3" w:rsidRDefault="000267F3">
      <w:r>
        <w:br w:type="page"/>
      </w:r>
    </w:p>
    <w:tbl>
      <w:tblPr>
        <w:tblW w:w="10115" w:type="dxa"/>
        <w:tblBorders>
          <w:top w:val="single" w:sz="4" w:space="0" w:color="auto"/>
          <w:bottom w:val="single" w:sz="4" w:space="0" w:color="auto"/>
          <w:insideH w:val="single" w:sz="4" w:space="0" w:color="auto"/>
        </w:tblBorders>
        <w:tblLayout w:type="fixed"/>
        <w:tblCellMar>
          <w:left w:w="0" w:type="dxa"/>
          <w:right w:w="14" w:type="dxa"/>
        </w:tblCellMar>
        <w:tblLook w:val="00A0" w:firstRow="1" w:lastRow="0" w:firstColumn="1" w:lastColumn="0" w:noHBand="0" w:noVBand="0"/>
      </w:tblPr>
      <w:tblGrid>
        <w:gridCol w:w="2909"/>
        <w:gridCol w:w="3156"/>
        <w:gridCol w:w="4050"/>
      </w:tblGrid>
      <w:tr w:rsidR="00977BF6" w14:paraId="14797694" w14:textId="77777777" w:rsidTr="000D7F8F">
        <w:tc>
          <w:tcPr>
            <w:tcW w:w="2909" w:type="dxa"/>
            <w:vMerge w:val="restart"/>
            <w:tcBorders>
              <w:top w:val="single" w:sz="4" w:space="0" w:color="999999"/>
              <w:right w:val="single" w:sz="4" w:space="0" w:color="A6A6A6" w:themeColor="background1" w:themeShade="A6"/>
            </w:tcBorders>
            <w:noWrap/>
            <w:tcMar>
              <w:top w:w="15" w:type="dxa"/>
              <w:left w:w="15" w:type="dxa"/>
              <w:bottom w:w="0" w:type="dxa"/>
              <w:right w:w="15" w:type="dxa"/>
            </w:tcMar>
          </w:tcPr>
          <w:p w14:paraId="0CC72987" w14:textId="773778DD" w:rsidR="00977BF6" w:rsidRDefault="00977BF6" w:rsidP="00532F9D">
            <w:pPr>
              <w:spacing w:before="60"/>
              <w:rPr>
                <w:b/>
              </w:rPr>
            </w:pPr>
            <w:r>
              <w:rPr>
                <w:b/>
              </w:rPr>
              <w:lastRenderedPageBreak/>
              <w:t>DCP Creation Date and Author:</w:t>
            </w:r>
          </w:p>
        </w:tc>
        <w:tc>
          <w:tcPr>
            <w:tcW w:w="3156" w:type="dxa"/>
            <w:tcBorders>
              <w:top w:val="single" w:sz="4" w:space="0" w:color="999999"/>
              <w:left w:val="single" w:sz="4" w:space="0" w:color="A6A6A6" w:themeColor="background1" w:themeShade="A6"/>
              <w:bottom w:val="single" w:sz="4" w:space="0" w:color="999999"/>
            </w:tcBorders>
            <w:shd w:val="pct15" w:color="auto" w:fill="auto"/>
            <w:vAlign w:val="bottom"/>
          </w:tcPr>
          <w:p w14:paraId="4F90C7AE" w14:textId="77777777" w:rsidR="00977BF6" w:rsidRPr="00453826" w:rsidRDefault="00977BF6" w:rsidP="00532F9D">
            <w:pPr>
              <w:spacing w:before="60"/>
              <w:rPr>
                <w:i/>
                <w:color w:val="365F91" w:themeColor="accent1" w:themeShade="BF"/>
                <w:sz w:val="16"/>
              </w:rPr>
            </w:pPr>
            <w:r w:rsidRPr="00453826">
              <w:rPr>
                <w:i/>
                <w:color w:val="365F91" w:themeColor="accent1" w:themeShade="BF"/>
                <w:sz w:val="16"/>
              </w:rPr>
              <w:t>Date DCP was finalized prior to Project Dataset(s) creation</w:t>
            </w:r>
          </w:p>
        </w:tc>
        <w:tc>
          <w:tcPr>
            <w:tcW w:w="4050" w:type="dxa"/>
            <w:tcBorders>
              <w:top w:val="single" w:sz="4" w:space="0" w:color="999999"/>
              <w:bottom w:val="single" w:sz="4" w:space="0" w:color="999999"/>
            </w:tcBorders>
            <w:shd w:val="pct15" w:color="auto" w:fill="auto"/>
            <w:vAlign w:val="bottom"/>
          </w:tcPr>
          <w:p w14:paraId="00493B6D" w14:textId="77777777" w:rsidR="00977BF6" w:rsidRPr="00453826" w:rsidRDefault="00977BF6" w:rsidP="00532F9D">
            <w:pPr>
              <w:spacing w:before="60"/>
              <w:rPr>
                <w:i/>
                <w:color w:val="365F91" w:themeColor="accent1" w:themeShade="BF"/>
                <w:sz w:val="16"/>
              </w:rPr>
            </w:pPr>
            <w:r w:rsidRPr="00453826">
              <w:rPr>
                <w:i/>
                <w:color w:val="365F91" w:themeColor="accent1" w:themeShade="BF"/>
                <w:sz w:val="16"/>
              </w:rPr>
              <w:t>Name of person who created the DCP</w:t>
            </w:r>
          </w:p>
        </w:tc>
      </w:tr>
      <w:tr w:rsidR="00977BF6" w14:paraId="1F5BF863" w14:textId="77777777" w:rsidTr="000D7F8F">
        <w:tc>
          <w:tcPr>
            <w:tcW w:w="2909" w:type="dxa"/>
            <w:vMerge/>
            <w:tcBorders>
              <w:right w:val="single" w:sz="4" w:space="0" w:color="A6A6A6" w:themeColor="background1" w:themeShade="A6"/>
            </w:tcBorders>
            <w:noWrap/>
            <w:tcMar>
              <w:top w:w="15" w:type="dxa"/>
              <w:left w:w="15" w:type="dxa"/>
              <w:bottom w:w="0" w:type="dxa"/>
              <w:right w:w="15" w:type="dxa"/>
            </w:tcMar>
          </w:tcPr>
          <w:p w14:paraId="12C6C52A" w14:textId="77777777" w:rsidR="00977BF6" w:rsidRDefault="00977BF6" w:rsidP="00532F9D">
            <w:pPr>
              <w:spacing w:before="60"/>
              <w:rPr>
                <w:b/>
              </w:rPr>
            </w:pPr>
          </w:p>
        </w:tc>
        <w:tc>
          <w:tcPr>
            <w:tcW w:w="3156" w:type="dxa"/>
            <w:tcBorders>
              <w:top w:val="single" w:sz="4" w:space="0" w:color="999999"/>
              <w:left w:val="single" w:sz="4" w:space="0" w:color="A6A6A6" w:themeColor="background1" w:themeShade="A6"/>
              <w:bottom w:val="single" w:sz="4" w:space="0" w:color="999999"/>
            </w:tcBorders>
            <w:shd w:val="clear" w:color="auto" w:fill="auto"/>
          </w:tcPr>
          <w:p w14:paraId="6E86A358" w14:textId="77777777" w:rsidR="00977BF6" w:rsidRPr="00453826" w:rsidRDefault="00977BF6" w:rsidP="00532F9D">
            <w:pPr>
              <w:spacing w:before="60"/>
              <w:rPr>
                <w:b/>
                <w:i/>
              </w:rPr>
            </w:pPr>
            <w:r w:rsidRPr="00453826">
              <w:rPr>
                <w:b/>
                <w:i/>
              </w:rPr>
              <w:t>Date</w:t>
            </w:r>
          </w:p>
        </w:tc>
        <w:tc>
          <w:tcPr>
            <w:tcW w:w="4050" w:type="dxa"/>
            <w:tcBorders>
              <w:top w:val="single" w:sz="4" w:space="0" w:color="999999"/>
              <w:bottom w:val="single" w:sz="4" w:space="0" w:color="999999"/>
            </w:tcBorders>
            <w:shd w:val="clear" w:color="auto" w:fill="auto"/>
          </w:tcPr>
          <w:p w14:paraId="3E35571E" w14:textId="77777777" w:rsidR="00977BF6" w:rsidRPr="00453826" w:rsidRDefault="00977BF6" w:rsidP="00532F9D">
            <w:pPr>
              <w:spacing w:before="60"/>
              <w:rPr>
                <w:b/>
                <w:i/>
              </w:rPr>
            </w:pPr>
            <w:r w:rsidRPr="00453826">
              <w:rPr>
                <w:b/>
                <w:i/>
              </w:rPr>
              <w:t>Name</w:t>
            </w:r>
          </w:p>
        </w:tc>
      </w:tr>
      <w:tr w:rsidR="00977BF6" w14:paraId="628B7FE0" w14:textId="77777777" w:rsidTr="000D7F8F">
        <w:tc>
          <w:tcPr>
            <w:tcW w:w="2909" w:type="dxa"/>
            <w:vMerge/>
            <w:tcBorders>
              <w:bottom w:val="single" w:sz="4" w:space="0" w:color="A6A6A6" w:themeColor="background1" w:themeShade="A6"/>
              <w:right w:val="single" w:sz="4" w:space="0" w:color="A6A6A6" w:themeColor="background1" w:themeShade="A6"/>
            </w:tcBorders>
            <w:noWrap/>
            <w:tcMar>
              <w:top w:w="15" w:type="dxa"/>
              <w:left w:w="15" w:type="dxa"/>
              <w:bottom w:w="0" w:type="dxa"/>
              <w:right w:w="15" w:type="dxa"/>
            </w:tcMar>
          </w:tcPr>
          <w:p w14:paraId="2654A351" w14:textId="77777777" w:rsidR="00977BF6" w:rsidRDefault="00977BF6" w:rsidP="00532F9D">
            <w:pPr>
              <w:spacing w:before="60"/>
              <w:rPr>
                <w:b/>
              </w:rPr>
            </w:pPr>
          </w:p>
        </w:tc>
        <w:tc>
          <w:tcPr>
            <w:tcW w:w="3156" w:type="dxa"/>
            <w:tcBorders>
              <w:top w:val="single" w:sz="4" w:space="0" w:color="999999"/>
              <w:left w:val="single" w:sz="4" w:space="0" w:color="A6A6A6" w:themeColor="background1" w:themeShade="A6"/>
              <w:bottom w:val="single" w:sz="4" w:space="0" w:color="A6A6A6" w:themeColor="background1" w:themeShade="A6"/>
            </w:tcBorders>
          </w:tcPr>
          <w:p w14:paraId="180A1A7E" w14:textId="77777777" w:rsidR="00977BF6" w:rsidRPr="005C2971" w:rsidRDefault="00977BF6" w:rsidP="00532F9D">
            <w:pPr>
              <w:spacing w:before="60"/>
            </w:pPr>
            <w:proofErr w:type="spellStart"/>
            <w:r w:rsidRPr="005C2971">
              <w:t>yyyy</w:t>
            </w:r>
            <w:proofErr w:type="spellEnd"/>
            <w:r w:rsidRPr="005C2971">
              <w:t>-mon-dd</w:t>
            </w:r>
          </w:p>
        </w:tc>
        <w:tc>
          <w:tcPr>
            <w:tcW w:w="4050" w:type="dxa"/>
            <w:tcBorders>
              <w:top w:val="single" w:sz="4" w:space="0" w:color="999999"/>
              <w:bottom w:val="single" w:sz="4" w:space="0" w:color="A6A6A6" w:themeColor="background1" w:themeShade="A6"/>
            </w:tcBorders>
          </w:tcPr>
          <w:p w14:paraId="56A712DD" w14:textId="77777777" w:rsidR="00977BF6" w:rsidRPr="005C2971" w:rsidRDefault="00977BF6" w:rsidP="00532F9D">
            <w:pPr>
              <w:spacing w:before="60"/>
            </w:pPr>
          </w:p>
        </w:tc>
      </w:tr>
    </w:tbl>
    <w:tbl>
      <w:tblPr>
        <w:tblpPr w:leftFromText="180" w:rightFromText="180" w:vertAnchor="text" w:horzAnchor="margin" w:tblpY="1038"/>
        <w:tblW w:w="10115" w:type="dxa"/>
        <w:tblBorders>
          <w:top w:val="single" w:sz="4" w:space="0" w:color="auto"/>
          <w:bottom w:val="single" w:sz="4" w:space="0" w:color="auto"/>
          <w:insideH w:val="single" w:sz="4" w:space="0" w:color="auto"/>
        </w:tblBorders>
        <w:tblLayout w:type="fixed"/>
        <w:tblCellMar>
          <w:left w:w="0" w:type="dxa"/>
          <w:right w:w="0" w:type="dxa"/>
        </w:tblCellMar>
        <w:tblLook w:val="00A0" w:firstRow="1" w:lastRow="0" w:firstColumn="1" w:lastColumn="0" w:noHBand="0" w:noVBand="0"/>
      </w:tblPr>
      <w:tblGrid>
        <w:gridCol w:w="6512"/>
        <w:gridCol w:w="3603"/>
      </w:tblGrid>
      <w:tr w:rsidR="000267F3" w:rsidRPr="007950E3" w14:paraId="1428F01F" w14:textId="77777777" w:rsidTr="000267F3">
        <w:trPr>
          <w:tblHeader/>
        </w:trPr>
        <w:tc>
          <w:tcPr>
            <w:tcW w:w="10115" w:type="dxa"/>
            <w:gridSpan w:val="2"/>
            <w:tcBorders>
              <w:top w:val="double" w:sz="4" w:space="0" w:color="auto"/>
              <w:bottom w:val="double" w:sz="4" w:space="0" w:color="auto"/>
            </w:tcBorders>
            <w:shd w:val="clear" w:color="auto" w:fill="E0E0E0"/>
            <w:noWrap/>
            <w:tcMar>
              <w:top w:w="15" w:type="dxa"/>
              <w:left w:w="15" w:type="dxa"/>
              <w:bottom w:w="0" w:type="dxa"/>
              <w:right w:w="15" w:type="dxa"/>
            </w:tcMar>
          </w:tcPr>
          <w:p w14:paraId="41804880" w14:textId="77777777" w:rsidR="000267F3" w:rsidRDefault="000267F3" w:rsidP="000267F3">
            <w:pPr>
              <w:pStyle w:val="Heading2"/>
            </w:pPr>
            <w:r>
              <w:t>ICES Data</w:t>
            </w:r>
          </w:p>
          <w:p w14:paraId="716A4012" w14:textId="77777777" w:rsidR="000267F3" w:rsidRPr="008F5C18" w:rsidRDefault="000267F3" w:rsidP="000267F3">
            <w:pPr>
              <w:pStyle w:val="Heading2"/>
            </w:pPr>
            <w:r>
              <w:t>This Section must be Completed Prior to Project Dataset(s) Creation</w:t>
            </w:r>
          </w:p>
        </w:tc>
      </w:tr>
      <w:tr w:rsidR="000267F3" w14:paraId="2E2F8767" w14:textId="77777777" w:rsidTr="000267F3">
        <w:tblPrEx>
          <w:tblBorders>
            <w:top w:val="double" w:sz="4" w:space="0" w:color="auto"/>
            <w:bottom w:val="double" w:sz="4" w:space="0" w:color="auto"/>
            <w:insideH w:val="none" w:sz="0" w:space="0" w:color="auto"/>
          </w:tblBorders>
        </w:tblPrEx>
        <w:tc>
          <w:tcPr>
            <w:tcW w:w="6512" w:type="dxa"/>
            <w:tcBorders>
              <w:top w:val="single" w:sz="4" w:space="0" w:color="A6A6A6" w:themeColor="background1" w:themeShade="A6"/>
              <w:bottom w:val="single" w:sz="4" w:space="0" w:color="A6A6A6" w:themeColor="background1" w:themeShade="A6"/>
            </w:tcBorders>
            <w:shd w:val="pct15" w:color="auto" w:fill="auto"/>
            <w:noWrap/>
            <w:tcMar>
              <w:top w:w="15" w:type="dxa"/>
              <w:left w:w="15" w:type="dxa"/>
              <w:bottom w:w="0" w:type="dxa"/>
              <w:right w:w="15" w:type="dxa"/>
            </w:tcMar>
          </w:tcPr>
          <w:p w14:paraId="0190993A" w14:textId="77777777" w:rsidR="000267F3" w:rsidRDefault="000267F3" w:rsidP="000267F3">
            <w:pPr>
              <w:spacing w:before="60"/>
              <w:rPr>
                <w:b/>
              </w:rPr>
            </w:pPr>
            <w:r w:rsidRPr="00453826">
              <w:rPr>
                <w:i/>
                <w:color w:val="365F91" w:themeColor="accent1" w:themeShade="BF"/>
                <w:sz w:val="16"/>
              </w:rPr>
              <w:t xml:space="preserve">The ICES Employee or agent who is responsible for creating the Project Dataset(s) must ensure that this list includes only data listed in the </w:t>
            </w:r>
            <w:r>
              <w:rPr>
                <w:i/>
                <w:color w:val="365F91" w:themeColor="accent1" w:themeShade="BF"/>
                <w:sz w:val="16"/>
              </w:rPr>
              <w:t xml:space="preserve">ICES Project </w:t>
            </w:r>
            <w:r w:rsidRPr="00453826">
              <w:rPr>
                <w:i/>
                <w:color w:val="365F91" w:themeColor="accent1" w:themeShade="BF"/>
                <w:sz w:val="16"/>
              </w:rPr>
              <w:t>PIA</w:t>
            </w:r>
          </w:p>
          <w:p w14:paraId="2352EFE2" w14:textId="77777777" w:rsidR="000267F3" w:rsidRPr="00453826" w:rsidRDefault="000267F3" w:rsidP="000267F3">
            <w:pPr>
              <w:spacing w:before="60"/>
              <w:rPr>
                <w:i/>
                <w:color w:val="365F91" w:themeColor="accent1" w:themeShade="BF"/>
                <w:sz w:val="16"/>
              </w:rPr>
            </w:pPr>
            <w:r w:rsidRPr="00453826">
              <w:rPr>
                <w:i/>
                <w:color w:val="365F91" w:themeColor="accent1" w:themeShade="BF"/>
                <w:sz w:val="16"/>
              </w:rPr>
              <w:t>Changes to this list after initial</w:t>
            </w:r>
            <w:r>
              <w:rPr>
                <w:i/>
                <w:color w:val="365F91" w:themeColor="accent1" w:themeShade="BF"/>
                <w:sz w:val="16"/>
              </w:rPr>
              <w:t xml:space="preserve"> ICES Project</w:t>
            </w:r>
            <w:r w:rsidRPr="00453826">
              <w:rPr>
                <w:i/>
                <w:color w:val="365F91" w:themeColor="accent1" w:themeShade="BF"/>
                <w:sz w:val="16"/>
              </w:rPr>
              <w:t xml:space="preserve"> PIA approval require </w:t>
            </w:r>
            <w:r>
              <w:rPr>
                <w:i/>
                <w:color w:val="365F91" w:themeColor="accent1" w:themeShade="BF"/>
                <w:sz w:val="16"/>
              </w:rPr>
              <w:t>an ICES Project PIA Amendment</w:t>
            </w:r>
          </w:p>
        </w:tc>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pct15" w:color="auto" w:fill="auto"/>
            <w:vAlign w:val="bottom"/>
          </w:tcPr>
          <w:p w14:paraId="3FC97237" w14:textId="77777777" w:rsidR="000267F3" w:rsidRPr="00453826" w:rsidRDefault="000267F3" w:rsidP="000267F3">
            <w:pPr>
              <w:spacing w:before="60"/>
              <w:rPr>
                <w:i/>
                <w:color w:val="365F91" w:themeColor="accent1" w:themeShade="BF"/>
                <w:sz w:val="16"/>
              </w:rPr>
            </w:pPr>
            <w:r w:rsidRPr="0032500A">
              <w:rPr>
                <w:i/>
                <w:color w:val="365F91" w:themeColor="accent1" w:themeShade="BF"/>
                <w:sz w:val="16"/>
              </w:rPr>
              <w:t>Mandatory for all datasets that are available by individual year</w:t>
            </w:r>
          </w:p>
        </w:tc>
      </w:tr>
      <w:tr w:rsidR="000267F3" w14:paraId="312EF6F0" w14:textId="77777777" w:rsidTr="000267F3">
        <w:tblPrEx>
          <w:tblBorders>
            <w:top w:val="double" w:sz="4" w:space="0" w:color="auto"/>
            <w:bottom w:val="double" w:sz="4" w:space="0" w:color="auto"/>
            <w:insideH w:val="none" w:sz="0" w:space="0" w:color="auto"/>
          </w:tblBorders>
        </w:tblPrEx>
        <w:trPr>
          <w:trHeight w:val="398"/>
        </w:trPr>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706A4D49" w14:textId="77777777" w:rsidR="000267F3" w:rsidRPr="00E27600" w:rsidRDefault="000267F3" w:rsidP="000267F3">
            <w:pPr>
              <w:spacing w:before="60"/>
              <w:rPr>
                <w:b/>
                <w:i/>
                <w:color w:val="365F91" w:themeColor="accent1" w:themeShade="BF"/>
                <w:sz w:val="16"/>
              </w:rPr>
            </w:pPr>
            <w:r w:rsidRPr="00E27600">
              <w:rPr>
                <w:b/>
                <w:i/>
              </w:rPr>
              <w:t>General Use Datasets – Health Services</w:t>
            </w:r>
          </w:p>
        </w:tc>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tcPr>
          <w:p w14:paraId="3923E5AD" w14:textId="77777777" w:rsidR="000267F3" w:rsidRPr="0032500A" w:rsidRDefault="000267F3" w:rsidP="000267F3">
            <w:pPr>
              <w:spacing w:before="60"/>
              <w:rPr>
                <w:b/>
                <w:i/>
                <w:color w:val="365F91" w:themeColor="accent1" w:themeShade="BF"/>
                <w:sz w:val="16"/>
              </w:rPr>
            </w:pPr>
            <w:r w:rsidRPr="0032500A">
              <w:rPr>
                <w:b/>
                <w:i/>
              </w:rPr>
              <w:t>Years (where applicable)</w:t>
            </w:r>
          </w:p>
        </w:tc>
      </w:tr>
      <w:tr w:rsidR="00CC5BA0" w14:paraId="49846BBA" w14:textId="77777777" w:rsidTr="002619EF">
        <w:tblPrEx>
          <w:tblBorders>
            <w:top w:val="double" w:sz="4" w:space="0" w:color="auto"/>
            <w:bottom w:val="double" w:sz="4" w:space="0" w:color="auto"/>
            <w:insideH w:val="none" w:sz="0" w:space="0" w:color="auto"/>
          </w:tblBorders>
        </w:tblPrEx>
        <w:sdt>
          <w:sdtPr>
            <w:alias w:val="Choose ICES Health Services Data"/>
            <w:tag w:val="Choose ICES Health Services Data"/>
            <w:id w:val="-1757968983"/>
            <w:dropDownList>
              <w:listItem w:displayText="See list" w:value="See list"/>
              <w:listItem w:displayText="CCRS" w:value="CCRS"/>
              <w:listItem w:displayText="CIHI DAD" w:value="CIHI DAD"/>
              <w:listItem w:displayText="CIHI SDS" w:value="CIHI SDS"/>
              <w:listItem w:displayText="CONTACT" w:value="CONTACT"/>
              <w:listItem w:displayText="CPRO" w:value="CPRO"/>
              <w:listItem w:displayText="ERCLAIM" w:value="ERCLAIM"/>
              <w:listItem w:displayText="HCD" w:value="HCD"/>
              <w:listItem w:displayText="HCDMOH" w:value="HCDMOH"/>
              <w:listItem w:displayText="NACRS" w:value="NACRS"/>
              <w:listItem w:displayText="NRS" w:value="NRS"/>
              <w:listItem w:displayText="ODB" w:value="ODB"/>
              <w:listItem w:displayText="OHCAS" w:value="OHCAS"/>
              <w:listItem w:displayText="OHIP" w:value="OHIP"/>
              <w:listItem w:displayText="OMHRS" w:value="OMHRS"/>
              <w:listItem w:displayText="RAIHC" w:value="RAIHC"/>
              <w:listItem w:displayText="RAIHCMOH" w:value="RAIHCMOH"/>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067C4C98" w14:textId="27B9B593" w:rsidR="00CC5BA0" w:rsidRPr="00E27600" w:rsidRDefault="00CC5BA0" w:rsidP="00CC5BA0">
                <w:pPr>
                  <w:spacing w:before="60"/>
                </w:pPr>
                <w:r>
                  <w:t>CIHI DAD</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69930DC7" w14:textId="3D01B138" w:rsidR="00CC5BA0" w:rsidRPr="009D3C3E" w:rsidRDefault="00903021" w:rsidP="00CC5BA0">
            <w:pPr>
              <w:spacing w:before="60"/>
            </w:pPr>
            <w:r>
              <w:t>2006 – 2015</w:t>
            </w:r>
          </w:p>
        </w:tc>
      </w:tr>
      <w:tr w:rsidR="00903021" w14:paraId="051667A9" w14:textId="77777777" w:rsidTr="002619EF">
        <w:tblPrEx>
          <w:tblBorders>
            <w:top w:val="double" w:sz="4" w:space="0" w:color="auto"/>
            <w:bottom w:val="double" w:sz="4" w:space="0" w:color="auto"/>
            <w:insideH w:val="none" w:sz="0" w:space="0" w:color="auto"/>
          </w:tblBorders>
        </w:tblPrEx>
        <w:sdt>
          <w:sdtPr>
            <w:alias w:val="Choose ICES Health Services Data"/>
            <w:tag w:val="Choose ICES Health Services Data"/>
            <w:id w:val="1510324694"/>
            <w:dropDownList>
              <w:listItem w:displayText="See list" w:value="See list"/>
              <w:listItem w:displayText="CCRS" w:value="CCRS"/>
              <w:listItem w:displayText="CIHI DAD" w:value="CIHI DAD"/>
              <w:listItem w:displayText="CIHI SDS" w:value="CIHI SDS"/>
              <w:listItem w:displayText="CONTACT" w:value="CONTACT"/>
              <w:listItem w:displayText="CPRO" w:value="CPRO"/>
              <w:listItem w:displayText="ERCLAIM" w:value="ERCLAIM"/>
              <w:listItem w:displayText="HCD" w:value="HCD"/>
              <w:listItem w:displayText="HCDMOH" w:value="HCDMOH"/>
              <w:listItem w:displayText="NACRS" w:value="NACRS"/>
              <w:listItem w:displayText="NRS" w:value="NRS"/>
              <w:listItem w:displayText="ODB" w:value="ODB"/>
              <w:listItem w:displayText="OHCAS" w:value="OHCAS"/>
              <w:listItem w:displayText="OHIP" w:value="OHIP"/>
              <w:listItem w:displayText="OMHRS" w:value="OMHRS"/>
              <w:listItem w:displayText="RAIHC" w:value="RAIHC"/>
              <w:listItem w:displayText="RAIHCMOH" w:value="RAIHCMOH"/>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5CBC6DC5" w14:textId="7FCBFAF0" w:rsidR="00903021" w:rsidRPr="00E27600" w:rsidRDefault="00903021" w:rsidP="00903021">
                <w:pPr>
                  <w:spacing w:before="60"/>
                </w:pPr>
                <w:r>
                  <w:t>OMHRS</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43CC0631" w14:textId="4BC1759C" w:rsidR="00903021" w:rsidRPr="009D3C3E" w:rsidRDefault="00903021" w:rsidP="00903021">
            <w:pPr>
              <w:spacing w:before="60"/>
            </w:pPr>
            <w:r>
              <w:t>2006 – 2015</w:t>
            </w:r>
          </w:p>
        </w:tc>
      </w:tr>
      <w:tr w:rsidR="00903021" w14:paraId="57BBF723" w14:textId="77777777" w:rsidTr="002619EF">
        <w:tblPrEx>
          <w:tblBorders>
            <w:top w:val="double" w:sz="4" w:space="0" w:color="auto"/>
            <w:bottom w:val="double" w:sz="4" w:space="0" w:color="auto"/>
            <w:insideH w:val="none" w:sz="0" w:space="0" w:color="auto"/>
          </w:tblBorders>
        </w:tblPrEx>
        <w:sdt>
          <w:sdtPr>
            <w:alias w:val="Choose ICES Health Services Data"/>
            <w:tag w:val="Choose ICES Health Services Data"/>
            <w:id w:val="-263542776"/>
            <w:dropDownList>
              <w:listItem w:displayText="See list" w:value="See list"/>
              <w:listItem w:displayText="CCRS" w:value="CCRS"/>
              <w:listItem w:displayText="CIHI DAD" w:value="CIHI DAD"/>
              <w:listItem w:displayText="CIHI SDS" w:value="CIHI SDS"/>
              <w:listItem w:displayText="CONTACT" w:value="CONTACT"/>
              <w:listItem w:displayText="CPRO" w:value="CPRO"/>
              <w:listItem w:displayText="ERCLAIM" w:value="ERCLAIM"/>
              <w:listItem w:displayText="HCD" w:value="HCD"/>
              <w:listItem w:displayText="HCDMOH" w:value="HCDMOH"/>
              <w:listItem w:displayText="NACRS" w:value="NACRS"/>
              <w:listItem w:displayText="NRS" w:value="NRS"/>
              <w:listItem w:displayText="ODB" w:value="ODB"/>
              <w:listItem w:displayText="OHCAS" w:value="OHCAS"/>
              <w:listItem w:displayText="OHIP" w:value="OHIP"/>
              <w:listItem w:displayText="OMHRS" w:value="OMHRS"/>
              <w:listItem w:displayText="RAIHC" w:value="RAIHC"/>
              <w:listItem w:displayText="RAIHCMOH" w:value="RAIHCMOH"/>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4A07572F" w14:textId="78A6AC91" w:rsidR="00903021" w:rsidRPr="00E27600" w:rsidRDefault="00903021" w:rsidP="00903021">
                <w:pPr>
                  <w:spacing w:before="60"/>
                </w:pPr>
                <w:r>
                  <w:t>NACRS</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16A875CD" w14:textId="73E302F6" w:rsidR="00903021" w:rsidRPr="009D3C3E" w:rsidRDefault="00903021" w:rsidP="00903021">
            <w:pPr>
              <w:spacing w:before="60"/>
            </w:pPr>
            <w:r>
              <w:t>2006 – 2015</w:t>
            </w:r>
          </w:p>
        </w:tc>
      </w:tr>
      <w:tr w:rsidR="00903021" w14:paraId="4ED6513F" w14:textId="77777777" w:rsidTr="002619EF">
        <w:tblPrEx>
          <w:tblBorders>
            <w:top w:val="double" w:sz="4" w:space="0" w:color="auto"/>
            <w:bottom w:val="double" w:sz="4" w:space="0" w:color="auto"/>
            <w:insideH w:val="none" w:sz="0" w:space="0" w:color="auto"/>
          </w:tblBorders>
        </w:tblPrEx>
        <w:sdt>
          <w:sdtPr>
            <w:alias w:val="Choose ICES Health Services Data"/>
            <w:tag w:val="Choose ICES Health Services Data"/>
            <w:id w:val="-1039587316"/>
            <w:dropDownList>
              <w:listItem w:displayText="See list" w:value="See list"/>
              <w:listItem w:displayText="CCRS" w:value="CCRS"/>
              <w:listItem w:displayText="CIHI DAD" w:value="CIHI DAD"/>
              <w:listItem w:displayText="CIHI SDS" w:value="CIHI SDS"/>
              <w:listItem w:displayText="CONTACT" w:value="CONTACT"/>
              <w:listItem w:displayText="CPRO" w:value="CPRO"/>
              <w:listItem w:displayText="ERCLAIM" w:value="ERCLAIM"/>
              <w:listItem w:displayText="HCD" w:value="HCD"/>
              <w:listItem w:displayText="HCDMOH" w:value="HCDMOH"/>
              <w:listItem w:displayText="NACRS" w:value="NACRS"/>
              <w:listItem w:displayText="NRS" w:value="NRS"/>
              <w:listItem w:displayText="ODB" w:value="ODB"/>
              <w:listItem w:displayText="OHCAS" w:value="OHCAS"/>
              <w:listItem w:displayText="OHIP" w:value="OHIP"/>
              <w:listItem w:displayText="OMHRS" w:value="OMHRS"/>
              <w:listItem w:displayText="RAIHC" w:value="RAIHC"/>
              <w:listItem w:displayText="RAIHCMOH" w:value="RAIHCMOH"/>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4ECA4FEC" w14:textId="37CBA3BC" w:rsidR="00903021" w:rsidRPr="00E27600" w:rsidRDefault="00903021" w:rsidP="00903021">
                <w:pPr>
                  <w:spacing w:before="60"/>
                </w:pPr>
                <w:r>
                  <w:t>OHIP</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4268F045" w14:textId="76B90E4D" w:rsidR="00903021" w:rsidRPr="009D3C3E" w:rsidRDefault="00903021" w:rsidP="00903021">
            <w:pPr>
              <w:spacing w:before="60"/>
            </w:pPr>
            <w:r>
              <w:t>2006 – 2015</w:t>
            </w:r>
          </w:p>
        </w:tc>
      </w:tr>
      <w:tr w:rsidR="00903021" w14:paraId="73316C56" w14:textId="77777777" w:rsidTr="002619EF">
        <w:tblPrEx>
          <w:tblBorders>
            <w:top w:val="double" w:sz="4" w:space="0" w:color="auto"/>
            <w:bottom w:val="double" w:sz="4" w:space="0" w:color="auto"/>
            <w:insideH w:val="none" w:sz="0" w:space="0" w:color="auto"/>
          </w:tblBorders>
        </w:tblPrEx>
        <w:sdt>
          <w:sdtPr>
            <w:alias w:val="Choose ICES Health Services Data"/>
            <w:tag w:val="Choose ICES Health Services Data"/>
            <w:id w:val="502242970"/>
            <w:dropDownList>
              <w:listItem w:displayText="See list" w:value="See list"/>
              <w:listItem w:displayText="CCRS" w:value="CCRS"/>
              <w:listItem w:displayText="CIHI DAD" w:value="CIHI DAD"/>
              <w:listItem w:displayText="CIHI SDS" w:value="CIHI SDS"/>
              <w:listItem w:displayText="CONTACT" w:value="CONTACT"/>
              <w:listItem w:displayText="CPRO" w:value="CPRO"/>
              <w:listItem w:displayText="ERCLAIM" w:value="ERCLAIM"/>
              <w:listItem w:displayText="HCD" w:value="HCD"/>
              <w:listItem w:displayText="HCDMOH" w:value="HCDMOH"/>
              <w:listItem w:displayText="NACRS" w:value="NACRS"/>
              <w:listItem w:displayText="NRS" w:value="NRS"/>
              <w:listItem w:displayText="ODB" w:value="ODB"/>
              <w:listItem w:displayText="OHCAS" w:value="OHCAS"/>
              <w:listItem w:displayText="OHIP" w:value="OHIP"/>
              <w:listItem w:displayText="OMHRS" w:value="OMHRS"/>
              <w:listItem w:displayText="RAIHC" w:value="RAIHC"/>
              <w:listItem w:displayText="RAIHCMOH" w:value="RAIHCMOH"/>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69FCE5C0" w14:textId="504B7997" w:rsidR="00903021" w:rsidRPr="00E27600" w:rsidRDefault="00903021" w:rsidP="00903021">
                <w:pPr>
                  <w:spacing w:before="60"/>
                </w:pPr>
                <w:r>
                  <w:t>ODB</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606EFFC" w14:textId="5DCE6AAE" w:rsidR="00903021" w:rsidRPr="009D3C3E" w:rsidRDefault="00903021" w:rsidP="00903021">
            <w:pPr>
              <w:spacing w:before="60"/>
            </w:pPr>
            <w:r>
              <w:t>2006 – 2015</w:t>
            </w:r>
          </w:p>
        </w:tc>
      </w:tr>
      <w:tr w:rsidR="00903021" w14:paraId="116197B6" w14:textId="77777777" w:rsidTr="002619EF">
        <w:tblPrEx>
          <w:tblBorders>
            <w:top w:val="double" w:sz="4" w:space="0" w:color="auto"/>
            <w:bottom w:val="double" w:sz="4" w:space="0" w:color="auto"/>
            <w:insideH w:val="none" w:sz="0" w:space="0" w:color="auto"/>
          </w:tblBorders>
        </w:tblPrEx>
        <w:sdt>
          <w:sdtPr>
            <w:alias w:val="Choose ICES Health Services Data"/>
            <w:tag w:val="Choose ICES Health Services Data"/>
            <w:id w:val="-1809081534"/>
            <w:dropDownList>
              <w:listItem w:displayText="See list" w:value="See list"/>
              <w:listItem w:displayText="CCRS" w:value="CCRS"/>
              <w:listItem w:displayText="CIHI DAD" w:value="CIHI DAD"/>
              <w:listItem w:displayText="CIHI SDS" w:value="CIHI SDS"/>
              <w:listItem w:displayText="CONTACT" w:value="CONTACT"/>
              <w:listItem w:displayText="CPRO" w:value="CPRO"/>
              <w:listItem w:displayText="ERCLAIM" w:value="ERCLAIM"/>
              <w:listItem w:displayText="HCD" w:value="HCD"/>
              <w:listItem w:displayText="HCDMOH" w:value="HCDMOH"/>
              <w:listItem w:displayText="NACRS" w:value="NACRS"/>
              <w:listItem w:displayText="NRS" w:value="NRS"/>
              <w:listItem w:displayText="ODB" w:value="ODB"/>
              <w:listItem w:displayText="OHCAS" w:value="OHCAS"/>
              <w:listItem w:displayText="OHIP" w:value="OHIP"/>
              <w:listItem w:displayText="OMHRS" w:value="OMHRS"/>
              <w:listItem w:displayText="RAIHC" w:value="RAIHC"/>
              <w:listItem w:displayText="RAIHCMOH" w:value="RAIHCMOH"/>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4971DA96" w14:textId="4439C2CC" w:rsidR="00903021" w:rsidRPr="00E27600" w:rsidRDefault="00903021" w:rsidP="00903021">
                <w:pPr>
                  <w:spacing w:before="60"/>
                </w:pPr>
                <w:r>
                  <w:t>NRS</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FDB7699" w14:textId="62D91EB1" w:rsidR="00903021" w:rsidRPr="009D3C3E" w:rsidRDefault="00903021" w:rsidP="00903021">
            <w:pPr>
              <w:spacing w:before="60"/>
            </w:pPr>
            <w:r>
              <w:t>2006 – 2015</w:t>
            </w:r>
          </w:p>
        </w:tc>
      </w:tr>
      <w:tr w:rsidR="00903021" w14:paraId="448B961D" w14:textId="77777777" w:rsidTr="002619EF">
        <w:tblPrEx>
          <w:tblBorders>
            <w:top w:val="double" w:sz="4" w:space="0" w:color="auto"/>
            <w:bottom w:val="double" w:sz="4" w:space="0" w:color="auto"/>
            <w:insideH w:val="none" w:sz="0" w:space="0" w:color="auto"/>
          </w:tblBorders>
        </w:tblPrEx>
        <w:sdt>
          <w:sdtPr>
            <w:alias w:val="Choose ICES Health Services Data"/>
            <w:tag w:val="Choose ICES Health Services Data"/>
            <w:id w:val="-804549700"/>
            <w:dropDownList>
              <w:listItem w:displayText="See list" w:value="See list"/>
              <w:listItem w:displayText="CCRS" w:value="CCRS"/>
              <w:listItem w:displayText="CIHI DAD" w:value="CIHI DAD"/>
              <w:listItem w:displayText="CIHI SDS" w:value="CIHI SDS"/>
              <w:listItem w:displayText="CONTACT" w:value="CONTACT"/>
              <w:listItem w:displayText="CPRO" w:value="CPRO"/>
              <w:listItem w:displayText="ERCLAIM" w:value="ERCLAIM"/>
              <w:listItem w:displayText="HCD" w:value="HCD"/>
              <w:listItem w:displayText="HCDMOH" w:value="HCDMOH"/>
              <w:listItem w:displayText="NACRS" w:value="NACRS"/>
              <w:listItem w:displayText="NRS" w:value="NRS"/>
              <w:listItem w:displayText="ODB" w:value="ODB"/>
              <w:listItem w:displayText="OHCAS" w:value="OHCAS"/>
              <w:listItem w:displayText="OHIP" w:value="OHIP"/>
              <w:listItem w:displayText="OMHRS" w:value="OMHRS"/>
              <w:listItem w:displayText="RAIHC" w:value="RAIHC"/>
              <w:listItem w:displayText="RAIHCMOH" w:value="RAIHCMOH"/>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02C8819B" w14:textId="33CD6426" w:rsidR="00903021" w:rsidRPr="00E27600" w:rsidRDefault="00903021" w:rsidP="00903021">
                <w:pPr>
                  <w:spacing w:before="60"/>
                </w:pPr>
                <w:r>
                  <w:t>HCD</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6120DB57" w14:textId="1CF36596" w:rsidR="00903021" w:rsidRPr="009D3C3E" w:rsidRDefault="00903021" w:rsidP="00903021">
            <w:pPr>
              <w:spacing w:before="60"/>
            </w:pPr>
            <w:r>
              <w:t>2006 – 2015</w:t>
            </w:r>
          </w:p>
        </w:tc>
      </w:tr>
      <w:tr w:rsidR="00903021" w14:paraId="422C8904" w14:textId="77777777" w:rsidTr="000267F3">
        <w:tblPrEx>
          <w:tblBorders>
            <w:top w:val="double" w:sz="4" w:space="0" w:color="auto"/>
            <w:bottom w:val="double" w:sz="4" w:space="0" w:color="auto"/>
            <w:insideH w:val="none" w:sz="0" w:space="0" w:color="auto"/>
          </w:tblBorders>
        </w:tblPrEx>
        <w:trPr>
          <w:trHeight w:val="398"/>
        </w:trPr>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013DE4FC" w14:textId="77777777" w:rsidR="00903021" w:rsidRPr="00E27600" w:rsidRDefault="00903021" w:rsidP="00903021">
            <w:pPr>
              <w:spacing w:before="60"/>
              <w:rPr>
                <w:b/>
                <w:i/>
                <w:color w:val="365F91" w:themeColor="accent1" w:themeShade="BF"/>
                <w:sz w:val="16"/>
              </w:rPr>
            </w:pPr>
            <w:r w:rsidRPr="00E27600">
              <w:rPr>
                <w:b/>
                <w:i/>
              </w:rPr>
              <w:t>General Use Datasets – Care Providers</w:t>
            </w:r>
          </w:p>
        </w:tc>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tcPr>
          <w:p w14:paraId="3E86530A" w14:textId="77777777" w:rsidR="00903021" w:rsidRPr="009D3C3E" w:rsidRDefault="00903021" w:rsidP="00903021">
            <w:pPr>
              <w:spacing w:before="60"/>
            </w:pPr>
          </w:p>
        </w:tc>
      </w:tr>
      <w:tr w:rsidR="00903021" w14:paraId="55364659" w14:textId="77777777" w:rsidTr="000267F3">
        <w:tblPrEx>
          <w:tblBorders>
            <w:top w:val="double" w:sz="4" w:space="0" w:color="auto"/>
            <w:bottom w:val="double" w:sz="4" w:space="0" w:color="auto"/>
            <w:insideH w:val="none" w:sz="0" w:space="0" w:color="auto"/>
          </w:tblBorders>
        </w:tblPrEx>
        <w:sdt>
          <w:sdtPr>
            <w:alias w:val="Choose ICES Care Providers Data"/>
            <w:tag w:val="Choose ICES Care Providers Data"/>
            <w:id w:val="-1126693701"/>
            <w:dropDownList>
              <w:listItem w:displayText="See list" w:value="See list"/>
              <w:listItem w:displayText="CPDB" w:value="CPDB"/>
              <w:listItem w:displayText="IPDB" w:value="IPDB"/>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4191305A" w14:textId="77777777" w:rsidR="00903021" w:rsidRPr="00E27600" w:rsidRDefault="00903021" w:rsidP="00903021">
                <w:pPr>
                  <w:spacing w:before="60"/>
                </w:pPr>
                <w:r w:rsidRPr="00E27600">
                  <w:t>See list</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79F8B4A0" w14:textId="77777777" w:rsidR="00903021" w:rsidRPr="009D3C3E" w:rsidRDefault="00903021" w:rsidP="00903021">
            <w:pPr>
              <w:spacing w:before="60"/>
            </w:pPr>
          </w:p>
        </w:tc>
      </w:tr>
      <w:tr w:rsidR="00903021" w14:paraId="780CDC3E" w14:textId="77777777" w:rsidTr="000267F3">
        <w:tblPrEx>
          <w:tblBorders>
            <w:top w:val="double" w:sz="4" w:space="0" w:color="auto"/>
            <w:bottom w:val="double" w:sz="4" w:space="0" w:color="auto"/>
            <w:insideH w:val="none" w:sz="0" w:space="0" w:color="auto"/>
          </w:tblBorders>
        </w:tblPrEx>
        <w:sdt>
          <w:sdtPr>
            <w:alias w:val="Choose ICES Care Providers Data"/>
            <w:tag w:val="Choose ICES Care Providers Data"/>
            <w:id w:val="1603991525"/>
            <w:dropDownList>
              <w:listItem w:displayText="See list" w:value="See list"/>
              <w:listItem w:displayText="CPDB" w:value="CPDB"/>
              <w:listItem w:displayText="IPDB" w:value="IPDB"/>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1E35B7A6" w14:textId="77777777" w:rsidR="00903021" w:rsidRPr="00E27600" w:rsidRDefault="00903021" w:rsidP="00903021">
                <w:pPr>
                  <w:spacing w:before="60"/>
                </w:pPr>
                <w:r w:rsidRPr="00E27600">
                  <w:t>See list</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0DD323B0" w14:textId="77777777" w:rsidR="00903021" w:rsidRPr="009D3C3E" w:rsidRDefault="00903021" w:rsidP="00903021">
            <w:pPr>
              <w:spacing w:before="60"/>
            </w:pPr>
          </w:p>
        </w:tc>
      </w:tr>
      <w:tr w:rsidR="00903021" w14:paraId="0AE08FEF" w14:textId="77777777" w:rsidTr="000267F3">
        <w:tblPrEx>
          <w:tblBorders>
            <w:top w:val="double" w:sz="4" w:space="0" w:color="auto"/>
            <w:bottom w:val="double" w:sz="4" w:space="0" w:color="auto"/>
            <w:insideH w:val="none" w:sz="0" w:space="0" w:color="auto"/>
          </w:tblBorders>
        </w:tblPrEx>
        <w:trPr>
          <w:trHeight w:val="398"/>
        </w:trPr>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206A3767" w14:textId="77777777" w:rsidR="00903021" w:rsidRPr="00E27600" w:rsidRDefault="00903021" w:rsidP="00903021">
            <w:pPr>
              <w:spacing w:before="60"/>
              <w:rPr>
                <w:b/>
                <w:i/>
                <w:color w:val="365F91" w:themeColor="accent1" w:themeShade="BF"/>
                <w:sz w:val="16"/>
              </w:rPr>
            </w:pPr>
            <w:r w:rsidRPr="00E27600">
              <w:rPr>
                <w:b/>
                <w:i/>
              </w:rPr>
              <w:t>General Use Datasets – Population</w:t>
            </w:r>
          </w:p>
        </w:tc>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tcPr>
          <w:p w14:paraId="25DC2E15" w14:textId="77777777" w:rsidR="00903021" w:rsidRPr="009D3C3E" w:rsidRDefault="00903021" w:rsidP="00903021">
            <w:pPr>
              <w:spacing w:before="60"/>
            </w:pPr>
          </w:p>
        </w:tc>
      </w:tr>
      <w:tr w:rsidR="00903021" w14:paraId="57E5915B" w14:textId="77777777" w:rsidTr="000267F3">
        <w:tblPrEx>
          <w:tblBorders>
            <w:top w:val="double" w:sz="4" w:space="0" w:color="auto"/>
            <w:bottom w:val="double" w:sz="4" w:space="0" w:color="auto"/>
            <w:insideH w:val="none" w:sz="0" w:space="0" w:color="auto"/>
          </w:tblBorders>
        </w:tblPrEx>
        <w:sdt>
          <w:sdtPr>
            <w:alias w:val="Choose ICES Population Data"/>
            <w:tag w:val="Choose ICES Population Data"/>
            <w:id w:val="-2033564160"/>
            <w:dropDownList>
              <w:listItem w:displayText="See list" w:value="See list"/>
              <w:listItem w:displayText="CENSUS" w:value="CENSUS"/>
              <w:listItem w:displayText="POP" w:value="POP"/>
              <w:listItem w:displayText="RPDB" w:value="RPDB"/>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63FE6F0E" w14:textId="2005A091" w:rsidR="00903021" w:rsidRPr="00E27600" w:rsidRDefault="00903021" w:rsidP="00903021">
                <w:pPr>
                  <w:spacing w:before="60"/>
                </w:pPr>
                <w:r>
                  <w:t>RPDB</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32F764DF" w14:textId="6D97F3C2" w:rsidR="00903021" w:rsidRPr="009D3C3E" w:rsidRDefault="00903021" w:rsidP="00903021">
            <w:pPr>
              <w:spacing w:before="60"/>
            </w:pPr>
            <w:r>
              <w:t>All years available</w:t>
            </w:r>
          </w:p>
        </w:tc>
      </w:tr>
      <w:tr w:rsidR="00903021" w14:paraId="56F23395" w14:textId="77777777" w:rsidTr="000267F3">
        <w:tblPrEx>
          <w:tblBorders>
            <w:top w:val="double" w:sz="4" w:space="0" w:color="auto"/>
            <w:bottom w:val="double" w:sz="4" w:space="0" w:color="auto"/>
            <w:insideH w:val="none" w:sz="0" w:space="0" w:color="auto"/>
          </w:tblBorders>
        </w:tblPrEx>
        <w:sdt>
          <w:sdtPr>
            <w:alias w:val="Choose ICES Population Data"/>
            <w:tag w:val="Choose ICES Population Data"/>
            <w:id w:val="-1545290477"/>
            <w:dropDownList>
              <w:listItem w:displayText="See list" w:value="See list"/>
              <w:listItem w:displayText="CENSUS" w:value="CENSUS"/>
              <w:listItem w:displayText="POP" w:value="POP"/>
              <w:listItem w:displayText="RPDB" w:value="RPDB"/>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1D0641CD" w14:textId="77777777" w:rsidR="00903021" w:rsidRPr="00E27600" w:rsidRDefault="00903021" w:rsidP="00903021">
                <w:pPr>
                  <w:spacing w:before="60"/>
                </w:pPr>
                <w:r w:rsidRPr="00E27600">
                  <w:t>See list</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141724F9" w14:textId="77777777" w:rsidR="00903021" w:rsidRPr="009D3C3E" w:rsidRDefault="00903021" w:rsidP="00903021">
            <w:pPr>
              <w:spacing w:before="60"/>
            </w:pPr>
          </w:p>
        </w:tc>
      </w:tr>
      <w:tr w:rsidR="00903021" w14:paraId="5A970616" w14:textId="77777777" w:rsidTr="000267F3">
        <w:tblPrEx>
          <w:tblBorders>
            <w:top w:val="double" w:sz="4" w:space="0" w:color="auto"/>
            <w:bottom w:val="double" w:sz="4" w:space="0" w:color="auto"/>
            <w:insideH w:val="none" w:sz="0" w:space="0" w:color="auto"/>
          </w:tblBorders>
        </w:tblPrEx>
        <w:trPr>
          <w:trHeight w:val="398"/>
        </w:trPr>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24B1ADC7" w14:textId="77777777" w:rsidR="00903021" w:rsidRPr="00E27600" w:rsidRDefault="00903021" w:rsidP="00903021">
            <w:pPr>
              <w:spacing w:before="60"/>
              <w:rPr>
                <w:b/>
                <w:i/>
                <w:color w:val="365F91" w:themeColor="accent1" w:themeShade="BF"/>
                <w:sz w:val="16"/>
              </w:rPr>
            </w:pPr>
            <w:r w:rsidRPr="00E27600">
              <w:rPr>
                <w:b/>
                <w:i/>
              </w:rPr>
              <w:t>General Use Datasets – Coding/Geography</w:t>
            </w:r>
          </w:p>
        </w:tc>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tcPr>
          <w:p w14:paraId="4F646C2E" w14:textId="77777777" w:rsidR="00903021" w:rsidRPr="009D3C3E" w:rsidRDefault="00903021" w:rsidP="00903021">
            <w:pPr>
              <w:spacing w:before="60"/>
            </w:pPr>
          </w:p>
        </w:tc>
      </w:tr>
      <w:tr w:rsidR="00903021" w14:paraId="28FD87A8" w14:textId="77777777" w:rsidTr="000267F3">
        <w:tblPrEx>
          <w:tblBorders>
            <w:top w:val="double" w:sz="4" w:space="0" w:color="auto"/>
            <w:bottom w:val="double" w:sz="4" w:space="0" w:color="auto"/>
            <w:insideH w:val="none" w:sz="0" w:space="0" w:color="auto"/>
          </w:tblBorders>
        </w:tblPrEx>
        <w:sdt>
          <w:sdtPr>
            <w:alias w:val="Choose ICES Coding/Geography Data"/>
            <w:tag w:val="Choose ICES Coding/Geography Data"/>
            <w:id w:val="-1249267885"/>
            <w:dropDownList>
              <w:listItem w:displayText="See list" w:value="See list"/>
              <w:listItem w:displayText="DIN" w:value="DIN"/>
              <w:listItem w:displayText="REF" w:value="REF"/>
              <w:listItem w:displayText="LHIN" w:value="LHIN"/>
              <w:listItem w:displayText="PCCF" w:value="PCCF"/>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6ED170FA" w14:textId="77E53B2B" w:rsidR="00903021" w:rsidRPr="00E27600" w:rsidRDefault="00903021" w:rsidP="00903021">
                <w:pPr>
                  <w:spacing w:before="60"/>
                </w:pPr>
                <w:r>
                  <w:t>PCCF</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73E811BD" w14:textId="77777777" w:rsidR="00903021" w:rsidRPr="009D3C3E" w:rsidRDefault="00903021" w:rsidP="00903021">
            <w:pPr>
              <w:spacing w:before="60"/>
            </w:pPr>
          </w:p>
        </w:tc>
      </w:tr>
      <w:tr w:rsidR="00903021" w14:paraId="337361E5" w14:textId="77777777" w:rsidTr="000267F3">
        <w:tblPrEx>
          <w:tblBorders>
            <w:top w:val="double" w:sz="4" w:space="0" w:color="auto"/>
            <w:bottom w:val="double" w:sz="4" w:space="0" w:color="auto"/>
            <w:insideH w:val="none" w:sz="0" w:space="0" w:color="auto"/>
          </w:tblBorders>
        </w:tblPrEx>
        <w:sdt>
          <w:sdtPr>
            <w:alias w:val="Choose ICES Coding/Geography Data"/>
            <w:tag w:val="Choose ICES Coding/Geography Data"/>
            <w:id w:val="-1319265778"/>
            <w:dropDownList>
              <w:listItem w:displayText="See list" w:value="See list"/>
              <w:listItem w:displayText="DIN" w:value="DIN"/>
              <w:listItem w:displayText="REF" w:value="REF"/>
              <w:listItem w:displayText="LHIN" w:value="LHIN"/>
              <w:listItem w:displayText="PCCF" w:value="PCCF"/>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214A0596" w14:textId="35BB50C9" w:rsidR="00903021" w:rsidRPr="00E27600" w:rsidRDefault="00903021" w:rsidP="00903021">
                <w:pPr>
                  <w:spacing w:before="60"/>
                </w:pPr>
                <w:r>
                  <w:t>LHIN</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FC4FEE5" w14:textId="77777777" w:rsidR="00903021" w:rsidRPr="009D3C3E" w:rsidRDefault="00903021" w:rsidP="00903021">
            <w:pPr>
              <w:spacing w:before="60"/>
            </w:pPr>
          </w:p>
        </w:tc>
      </w:tr>
      <w:tr w:rsidR="00903021" w14:paraId="771D67DF" w14:textId="77777777" w:rsidTr="000267F3">
        <w:tblPrEx>
          <w:tblBorders>
            <w:top w:val="double" w:sz="4" w:space="0" w:color="auto"/>
            <w:bottom w:val="double" w:sz="4" w:space="0" w:color="auto"/>
            <w:insideH w:val="none" w:sz="0" w:space="0" w:color="auto"/>
          </w:tblBorders>
        </w:tblPrEx>
        <w:trPr>
          <w:trHeight w:val="398"/>
        </w:trPr>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6C7F6BB3" w14:textId="77777777" w:rsidR="00903021" w:rsidRPr="00E27600" w:rsidRDefault="00903021" w:rsidP="00903021">
            <w:pPr>
              <w:spacing w:before="60"/>
              <w:rPr>
                <w:b/>
                <w:i/>
                <w:color w:val="365F91" w:themeColor="accent1" w:themeShade="BF"/>
                <w:sz w:val="16"/>
              </w:rPr>
            </w:pPr>
            <w:r w:rsidRPr="00E27600">
              <w:rPr>
                <w:b/>
                <w:i/>
              </w:rPr>
              <w:t>General Use Datasets - Facilities</w:t>
            </w:r>
          </w:p>
        </w:tc>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tcPr>
          <w:p w14:paraId="6F53A63D" w14:textId="77777777" w:rsidR="00903021" w:rsidRPr="009D3C3E" w:rsidRDefault="00903021" w:rsidP="00903021">
            <w:pPr>
              <w:spacing w:before="60"/>
            </w:pPr>
          </w:p>
        </w:tc>
      </w:tr>
      <w:tr w:rsidR="00903021" w14:paraId="6A4D8CCA" w14:textId="77777777" w:rsidTr="000267F3">
        <w:tblPrEx>
          <w:tblBorders>
            <w:top w:val="double" w:sz="4" w:space="0" w:color="auto"/>
            <w:bottom w:val="double" w:sz="4" w:space="0" w:color="auto"/>
            <w:insideH w:val="none" w:sz="0" w:space="0" w:color="auto"/>
          </w:tblBorders>
        </w:tblPrEx>
        <w:sdt>
          <w:sdtPr>
            <w:alias w:val="Choose ICES Facilities Data"/>
            <w:tag w:val="Choose ICES Facilities Data"/>
            <w:id w:val="1508097705"/>
            <w:dropDownList>
              <w:listItem w:displayText="See list" w:value="See list"/>
              <w:listItem w:displayText="INST" w:value="INST"/>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3E26BDA3" w14:textId="77777777" w:rsidR="00903021" w:rsidRPr="00E27600" w:rsidRDefault="00903021" w:rsidP="00903021">
                <w:pPr>
                  <w:spacing w:before="60"/>
                </w:pPr>
                <w:r w:rsidRPr="00E27600">
                  <w:t>See list</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6F45F825" w14:textId="77777777" w:rsidR="00903021" w:rsidRPr="009D3C3E" w:rsidRDefault="00903021" w:rsidP="00903021">
            <w:pPr>
              <w:spacing w:before="60"/>
            </w:pPr>
          </w:p>
        </w:tc>
      </w:tr>
      <w:tr w:rsidR="00903021" w14:paraId="1D2A9BC3" w14:textId="77777777" w:rsidTr="000267F3">
        <w:tblPrEx>
          <w:tblBorders>
            <w:top w:val="double" w:sz="4" w:space="0" w:color="auto"/>
            <w:bottom w:val="double" w:sz="4" w:space="0" w:color="auto"/>
            <w:insideH w:val="none" w:sz="0" w:space="0" w:color="auto"/>
          </w:tblBorders>
        </w:tblPrEx>
        <w:trPr>
          <w:trHeight w:val="398"/>
        </w:trPr>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3C1F0A35" w14:textId="77777777" w:rsidR="00903021" w:rsidRPr="00E27600" w:rsidRDefault="00903021" w:rsidP="00903021">
            <w:pPr>
              <w:spacing w:before="60"/>
              <w:rPr>
                <w:b/>
                <w:i/>
                <w:color w:val="365F91" w:themeColor="accent1" w:themeShade="BF"/>
                <w:sz w:val="16"/>
              </w:rPr>
            </w:pPr>
            <w:r w:rsidRPr="00E27600">
              <w:rPr>
                <w:b/>
                <w:i/>
              </w:rPr>
              <w:t>General Use Datasets - Other</w:t>
            </w:r>
          </w:p>
        </w:tc>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tcPr>
          <w:p w14:paraId="0DD77184" w14:textId="77777777" w:rsidR="00903021" w:rsidRPr="009D3C3E" w:rsidRDefault="00903021" w:rsidP="00903021">
            <w:pPr>
              <w:spacing w:before="60"/>
            </w:pPr>
          </w:p>
        </w:tc>
      </w:tr>
      <w:tr w:rsidR="00903021" w14:paraId="102AAA11" w14:textId="77777777" w:rsidTr="000267F3">
        <w:tblPrEx>
          <w:tblBorders>
            <w:top w:val="double" w:sz="4" w:space="0" w:color="auto"/>
            <w:bottom w:val="double" w:sz="4" w:space="0" w:color="auto"/>
            <w:insideH w:val="none" w:sz="0" w:space="0" w:color="auto"/>
          </w:tblBorders>
        </w:tblPrEx>
        <w:sdt>
          <w:sdtPr>
            <w:alias w:val="Choose ICES General Use Data"/>
            <w:tag w:val="Choose ICES General Use Data"/>
            <w:id w:val="950752713"/>
            <w:dropDownList>
              <w:listItem w:displayText="See list" w:value="See list"/>
              <w:listItem w:displayText="ADP" w:value="ADP"/>
              <w:listItem w:displayText="ASTHMA" w:value="ASTHMA"/>
              <w:listItem w:displayText="AVGPRICE" w:value="AVGPRICE"/>
              <w:listItem w:displayText="CAPE" w:value="CAPE"/>
              <w:listItem w:displayText="CENSUSCA" w:value="CENSUSCA"/>
              <w:listItem w:displayText="CHF" w:value="CHF"/>
              <w:listItem w:displayText="COPD" w:value="COPD"/>
              <w:listItem w:displayText="CORR" w:value="CORR"/>
              <w:listItem w:displayText="HIV" w:value="HIV"/>
              <w:listItem w:displayText="HOBIC" w:value="HOBIC"/>
              <w:listItem w:displayText="HYPER" w:value="HYPER"/>
              <w:listItem w:displayText="LOC" w:value="LOC"/>
              <w:listItem w:displayText="MIS" w:value="MIS"/>
              <w:listItem w:displayText="MOMBABY" w:value="MOMBABY"/>
              <w:listItem w:displayText="OCCC" w:value="OCCC"/>
              <w:listItem w:displayText="OCCI" w:value="OCCI"/>
              <w:listItem w:displayText="ODD" w:value="ODD"/>
              <w:listItem w:displayText="OMID" w:value="OMID"/>
              <w:listItem w:displayText="ONMARG" w:value="ONMARG"/>
              <w:listItem w:displayText="ORAD" w:value="ORAD"/>
              <w:listItem w:displayText="OTR" w:value="OTR"/>
              <w:listItem w:displayText="POPCAN" w:value="POPCAN"/>
              <w:listItem w:displayText="STDPRICE" w:value="STDPRICE"/>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06A65445" w14:textId="77777777" w:rsidR="00903021" w:rsidRPr="00E61213" w:rsidRDefault="00903021" w:rsidP="00903021">
                <w:pPr>
                  <w:spacing w:before="60"/>
                </w:pPr>
                <w:r w:rsidRPr="00E61213">
                  <w:t>See list</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35FB9908" w14:textId="77777777" w:rsidR="00903021" w:rsidRPr="009D3C3E" w:rsidRDefault="00903021" w:rsidP="00903021">
            <w:pPr>
              <w:spacing w:before="60"/>
            </w:pPr>
          </w:p>
        </w:tc>
      </w:tr>
      <w:tr w:rsidR="00903021" w14:paraId="27E362D7" w14:textId="77777777" w:rsidTr="000267F3">
        <w:tblPrEx>
          <w:tblBorders>
            <w:top w:val="double" w:sz="4" w:space="0" w:color="auto"/>
            <w:bottom w:val="double" w:sz="4" w:space="0" w:color="auto"/>
            <w:insideH w:val="none" w:sz="0" w:space="0" w:color="auto"/>
          </w:tblBorders>
        </w:tblPrEx>
        <w:sdt>
          <w:sdtPr>
            <w:alias w:val="Choose ICES General Use Data"/>
            <w:tag w:val="Choose ICES General Use Data"/>
            <w:id w:val="-1965414904"/>
            <w:dropDownList>
              <w:listItem w:displayText="See list" w:value="See list"/>
              <w:listItem w:displayText="ADP" w:value="ADP"/>
              <w:listItem w:displayText="ASTHMA" w:value="ASTHMA"/>
              <w:listItem w:displayText="AVGPRICE" w:value="AVGPRICE"/>
              <w:listItem w:displayText="CAPE" w:value="CAPE"/>
              <w:listItem w:displayText="CENSUSCA" w:value="CENSUSCA"/>
              <w:listItem w:displayText="CHF" w:value="CHF"/>
              <w:listItem w:displayText="COPD" w:value="COPD"/>
              <w:listItem w:displayText="CORR" w:value="CORR"/>
              <w:listItem w:displayText="HIV" w:value="HIV"/>
              <w:listItem w:displayText="HOBIC" w:value="HOBIC"/>
              <w:listItem w:displayText="HYPER" w:value="HYPER"/>
              <w:listItem w:displayText="LOC" w:value="LOC"/>
              <w:listItem w:displayText="MIS" w:value="MIS"/>
              <w:listItem w:displayText="MOMBABY" w:value="MOMBABY"/>
              <w:listItem w:displayText="OCCC" w:value="OCCC"/>
              <w:listItem w:displayText="OCCI" w:value="OCCI"/>
              <w:listItem w:displayText="ODD" w:value="ODD"/>
              <w:listItem w:displayText="OMID" w:value="OMID"/>
              <w:listItem w:displayText="ONMARG" w:value="ONMARG"/>
              <w:listItem w:displayText="ORAD" w:value="ORAD"/>
              <w:listItem w:displayText="OTR" w:value="OTR"/>
              <w:listItem w:displayText="POPCAN" w:value="POPCAN"/>
              <w:listItem w:displayText="STDPRICE" w:value="STDPRICE"/>
            </w:dropDownList>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4FCAFFB4" w14:textId="77777777" w:rsidR="00903021" w:rsidRPr="00E61213" w:rsidRDefault="00903021" w:rsidP="00903021">
                <w:pPr>
                  <w:spacing w:before="60"/>
                </w:pPr>
                <w:r w:rsidRPr="00E61213">
                  <w:t>See list</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39C078B4" w14:textId="77777777" w:rsidR="00903021" w:rsidRPr="009D3C3E" w:rsidRDefault="00903021" w:rsidP="00903021">
            <w:pPr>
              <w:spacing w:before="60"/>
            </w:pPr>
          </w:p>
        </w:tc>
      </w:tr>
      <w:tr w:rsidR="00903021" w14:paraId="7DA2550A" w14:textId="77777777" w:rsidTr="000267F3">
        <w:tblPrEx>
          <w:tblBorders>
            <w:top w:val="double" w:sz="4" w:space="0" w:color="auto"/>
            <w:bottom w:val="double" w:sz="4" w:space="0" w:color="auto"/>
            <w:insideH w:val="none" w:sz="0" w:space="0" w:color="auto"/>
          </w:tblBorders>
        </w:tblPrEx>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59539697" w14:textId="77777777" w:rsidR="00903021" w:rsidRDefault="00903021" w:rsidP="00903021">
            <w:pPr>
              <w:pStyle w:val="ListParagraph"/>
              <w:ind w:left="0"/>
              <w:rPr>
                <w:rFonts w:ascii="Arial" w:hAnsi="Arial"/>
                <w:sz w:val="18"/>
                <w:szCs w:val="18"/>
              </w:rPr>
            </w:pPr>
            <w:r w:rsidRPr="00E61213">
              <w:rPr>
                <w:b/>
                <w:i/>
              </w:rPr>
              <w:t>Controlled Use Datasets</w:t>
            </w:r>
          </w:p>
        </w:tc>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76C4F971" w14:textId="77777777" w:rsidR="00903021" w:rsidRPr="009D3C3E" w:rsidRDefault="00903021" w:rsidP="00903021">
            <w:pPr>
              <w:spacing w:before="60"/>
            </w:pPr>
          </w:p>
        </w:tc>
      </w:tr>
      <w:tr w:rsidR="00903021" w14:paraId="38BE3F94" w14:textId="77777777" w:rsidTr="000267F3">
        <w:tblPrEx>
          <w:tblBorders>
            <w:top w:val="double" w:sz="4" w:space="0" w:color="auto"/>
            <w:bottom w:val="double" w:sz="4" w:space="0" w:color="auto"/>
            <w:insideH w:val="none" w:sz="0" w:space="0" w:color="auto"/>
          </w:tblBorders>
        </w:tblPrEx>
        <w:sdt>
          <w:sdtPr>
            <w:alias w:val="Choose ICES Controlled Use Data"/>
            <w:tag w:val="Choose ICES Controlled Use Data"/>
            <w:id w:val="-1865203696"/>
            <w:comboBox>
              <w:listItem w:displayText="See list" w:value="See list"/>
              <w:listItem w:displayText="ALR" w:value="ALR"/>
              <w:listItem w:displayText="CCHS" w:value="CCHS"/>
              <w:listItem w:displayText="CCN" w:value="CCN"/>
              <w:listItem w:displayText="CIC" w:value="CIC"/>
              <w:listItem w:displayText="CTMRI" w:value="CTMRI"/>
              <w:listItem w:displayText="DMARON" w:value="DMARON"/>
              <w:listItem w:displayText="EFFECT" w:value="EFFECT"/>
              <w:listItem w:displayText="ETHNIC" w:value="ETHNIC"/>
              <w:listItem w:displayText="HIVOHTN" w:value="HIVOHTN"/>
              <w:listItem w:displayText="NDFP" w:value="NDFP"/>
              <w:listItem w:displayText="OBSP" w:value="OBSP"/>
              <w:listItem w:displayText="OCCI" w:value="OCCI"/>
              <w:listItem w:displayText="OCR" w:value="OCR"/>
              <w:listItem w:displayText="ORGD" w:value="ORGD"/>
              <w:listItem w:displayText="ORRS" w:value="ORRS"/>
              <w:listItem w:displayText="PHYSNET" w:value="PHYSNET"/>
              <w:listItem w:displayText="PIBD" w:value="PIBD"/>
              <w:listItem w:displayText="RCSN" w:value="RCSN"/>
            </w:comboBox>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57A55D8A" w14:textId="77777777" w:rsidR="00903021" w:rsidRPr="00E61213" w:rsidRDefault="00903021" w:rsidP="00903021">
                <w:pPr>
                  <w:spacing w:before="60"/>
                </w:pPr>
                <w:r w:rsidRPr="00E61213">
                  <w:t>See list</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7E02492D" w14:textId="77777777" w:rsidR="00903021" w:rsidRPr="009D3C3E" w:rsidRDefault="00903021" w:rsidP="00903021">
            <w:pPr>
              <w:spacing w:before="60"/>
            </w:pPr>
          </w:p>
        </w:tc>
      </w:tr>
      <w:tr w:rsidR="00903021" w14:paraId="0DA1EE8B" w14:textId="77777777" w:rsidTr="000267F3">
        <w:tblPrEx>
          <w:tblBorders>
            <w:top w:val="double" w:sz="4" w:space="0" w:color="auto"/>
            <w:bottom w:val="double" w:sz="4" w:space="0" w:color="auto"/>
            <w:insideH w:val="none" w:sz="0" w:space="0" w:color="auto"/>
          </w:tblBorders>
        </w:tblPrEx>
        <w:sdt>
          <w:sdtPr>
            <w:alias w:val="Choose ICES Controlled Use Data"/>
            <w:tag w:val="Choose ICES Controlled Use Data"/>
            <w:id w:val="216405367"/>
            <w:comboBox>
              <w:listItem w:displayText="See list" w:value="See list"/>
              <w:listItem w:displayText="ALR" w:value="ALR"/>
              <w:listItem w:displayText="CCHS" w:value="CCHS"/>
              <w:listItem w:displayText="CCN" w:value="CCN"/>
              <w:listItem w:displayText="CIC" w:value="CIC"/>
              <w:listItem w:displayText="CTMRI" w:value="CTMRI"/>
              <w:listItem w:displayText="DMARON" w:value="DMARON"/>
              <w:listItem w:displayText="EFFECT" w:value="EFFECT"/>
              <w:listItem w:displayText="ETHNIC" w:value="ETHNIC"/>
              <w:listItem w:displayText="HIVOHTN" w:value="HIVOHTN"/>
              <w:listItem w:displayText="NDFP" w:value="NDFP"/>
              <w:listItem w:displayText="OBSP" w:value="OBSP"/>
              <w:listItem w:displayText="OCCI" w:value="OCCI"/>
              <w:listItem w:displayText="OCR" w:value="OCR"/>
              <w:listItem w:displayText="ORGD" w:value="ORGD"/>
              <w:listItem w:displayText="ORRS" w:value="ORRS"/>
              <w:listItem w:displayText="PHYSNET" w:value="PHYSNET"/>
              <w:listItem w:displayText="PIBD" w:value="PIBD"/>
              <w:listItem w:displayText="RCSN" w:value="RCSN"/>
            </w:comboBox>
          </w:sdtPr>
          <w:sdtEndPr/>
          <w:sdtContent>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7599F0E5" w14:textId="77777777" w:rsidR="00903021" w:rsidRPr="00E61213" w:rsidRDefault="00903021" w:rsidP="00903021">
                <w:pPr>
                  <w:spacing w:before="60"/>
                </w:pPr>
                <w:r w:rsidRPr="00E61213">
                  <w:t>See list</w:t>
                </w:r>
              </w:p>
            </w:tc>
          </w:sdtContent>
        </w:sdt>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DBB831E" w14:textId="77777777" w:rsidR="00903021" w:rsidRPr="009D3C3E" w:rsidRDefault="00903021" w:rsidP="00903021">
            <w:pPr>
              <w:spacing w:before="60"/>
            </w:pPr>
          </w:p>
        </w:tc>
      </w:tr>
      <w:tr w:rsidR="00903021" w14:paraId="5DA48F0C" w14:textId="77777777" w:rsidTr="000267F3">
        <w:tblPrEx>
          <w:tblBorders>
            <w:top w:val="double" w:sz="4" w:space="0" w:color="auto"/>
            <w:bottom w:val="double" w:sz="4" w:space="0" w:color="auto"/>
            <w:insideH w:val="none" w:sz="0" w:space="0" w:color="auto"/>
          </w:tblBorders>
        </w:tblPrEx>
        <w:tc>
          <w:tcPr>
            <w:tcW w:w="6512" w:type="dxa"/>
            <w:tcBorders>
              <w:top w:val="single" w:sz="4" w:space="0" w:color="A6A6A6" w:themeColor="background1" w:themeShade="A6"/>
              <w:bottom w:val="single" w:sz="4" w:space="0" w:color="A6A6A6" w:themeColor="background1" w:themeShade="A6"/>
            </w:tcBorders>
            <w:shd w:val="clear" w:color="auto" w:fill="auto"/>
            <w:noWrap/>
            <w:tcMar>
              <w:top w:w="15" w:type="dxa"/>
              <w:left w:w="15" w:type="dxa"/>
              <w:bottom w:w="0" w:type="dxa"/>
              <w:right w:w="15" w:type="dxa"/>
            </w:tcMar>
          </w:tcPr>
          <w:p w14:paraId="1848F967" w14:textId="79C897BD" w:rsidR="00903021" w:rsidRPr="00D81679" w:rsidRDefault="00903021" w:rsidP="00903021">
            <w:pPr>
              <w:spacing w:before="60"/>
            </w:pPr>
            <w:r>
              <w:rPr>
                <w:b/>
                <w:i/>
              </w:rPr>
              <w:t>Other Datasets (including PSD and PDC data)</w:t>
            </w:r>
          </w:p>
        </w:tc>
        <w:tc>
          <w:tcPr>
            <w:tcW w:w="36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4294B305" w14:textId="77777777" w:rsidR="00903021" w:rsidRPr="009D3C3E" w:rsidRDefault="00903021" w:rsidP="00903021">
            <w:pPr>
              <w:spacing w:before="60"/>
            </w:pPr>
          </w:p>
        </w:tc>
      </w:tr>
      <w:tr w:rsidR="00903021" w14:paraId="0B51FF3C" w14:textId="77777777" w:rsidTr="000267F3">
        <w:tblPrEx>
          <w:tblBorders>
            <w:top w:val="double" w:sz="4" w:space="0" w:color="auto"/>
            <w:bottom w:val="double" w:sz="4" w:space="0" w:color="auto"/>
            <w:insideH w:val="none" w:sz="0" w:space="0" w:color="auto"/>
          </w:tblBorders>
        </w:tblPrEx>
        <w:tc>
          <w:tcPr>
            <w:tcW w:w="6512" w:type="dxa"/>
            <w:tcBorders>
              <w:top w:val="single" w:sz="4" w:space="0" w:color="A6A6A6" w:themeColor="background1" w:themeShade="A6"/>
              <w:bottom w:val="single" w:sz="12" w:space="0" w:color="auto"/>
            </w:tcBorders>
            <w:shd w:val="clear" w:color="auto" w:fill="auto"/>
            <w:noWrap/>
            <w:tcMar>
              <w:top w:w="15" w:type="dxa"/>
              <w:left w:w="15" w:type="dxa"/>
              <w:bottom w:w="0" w:type="dxa"/>
              <w:right w:w="15" w:type="dxa"/>
            </w:tcMar>
          </w:tcPr>
          <w:p w14:paraId="0D109D19" w14:textId="77777777" w:rsidR="00903021" w:rsidRPr="00D43E03" w:rsidRDefault="00903021" w:rsidP="00903021">
            <w:pPr>
              <w:spacing w:before="60"/>
            </w:pPr>
          </w:p>
        </w:tc>
        <w:tc>
          <w:tcPr>
            <w:tcW w:w="3603" w:type="dxa"/>
            <w:tcBorders>
              <w:top w:val="single" w:sz="4" w:space="0" w:color="A6A6A6" w:themeColor="background1" w:themeShade="A6"/>
              <w:left w:val="single" w:sz="4" w:space="0" w:color="A6A6A6" w:themeColor="background1" w:themeShade="A6"/>
              <w:bottom w:val="single" w:sz="12" w:space="0" w:color="auto"/>
            </w:tcBorders>
          </w:tcPr>
          <w:p w14:paraId="51678479" w14:textId="77777777" w:rsidR="00903021" w:rsidRPr="009D3C3E" w:rsidRDefault="00903021" w:rsidP="00903021">
            <w:pPr>
              <w:spacing w:before="60"/>
            </w:pPr>
          </w:p>
        </w:tc>
      </w:tr>
    </w:tbl>
    <w:tbl>
      <w:tblPr>
        <w:tblW w:w="10095" w:type="dxa"/>
        <w:tblBorders>
          <w:top w:val="single" w:sz="4" w:space="0" w:color="auto"/>
          <w:bottom w:val="single" w:sz="4" w:space="0" w:color="auto"/>
          <w:insideH w:val="single" w:sz="4" w:space="0" w:color="auto"/>
        </w:tblBorders>
        <w:tblLayout w:type="fixed"/>
        <w:tblCellMar>
          <w:left w:w="0" w:type="dxa"/>
          <w:right w:w="14" w:type="dxa"/>
        </w:tblCellMar>
        <w:tblLook w:val="00A0" w:firstRow="1" w:lastRow="0" w:firstColumn="1" w:lastColumn="0" w:noHBand="0" w:noVBand="0"/>
      </w:tblPr>
      <w:tblGrid>
        <w:gridCol w:w="2889"/>
        <w:gridCol w:w="1262"/>
        <w:gridCol w:w="1894"/>
        <w:gridCol w:w="4050"/>
      </w:tblGrid>
      <w:tr w:rsidR="00111ADE" w:rsidRPr="007950E3" w14:paraId="245790D1" w14:textId="77777777" w:rsidTr="00C85FB4">
        <w:trPr>
          <w:tblHeader/>
        </w:trPr>
        <w:tc>
          <w:tcPr>
            <w:tcW w:w="10095" w:type="dxa"/>
            <w:gridSpan w:val="4"/>
            <w:tcBorders>
              <w:top w:val="double" w:sz="4" w:space="0" w:color="auto"/>
              <w:bottom w:val="double" w:sz="4" w:space="0" w:color="auto"/>
            </w:tcBorders>
            <w:shd w:val="clear" w:color="auto" w:fill="E0E0E0"/>
            <w:noWrap/>
            <w:tcMar>
              <w:top w:w="15" w:type="dxa"/>
              <w:left w:w="15" w:type="dxa"/>
              <w:bottom w:w="0" w:type="dxa"/>
              <w:right w:w="15" w:type="dxa"/>
            </w:tcMar>
          </w:tcPr>
          <w:p w14:paraId="6D3BA5E1" w14:textId="18AE345D" w:rsidR="00111ADE" w:rsidRPr="007950E3" w:rsidRDefault="0032500A" w:rsidP="000B3B18">
            <w:pPr>
              <w:pStyle w:val="Heading2"/>
            </w:pPr>
            <w:r>
              <w:br w:type="page"/>
            </w:r>
            <w:r w:rsidR="00111ADE">
              <w:br w:type="page"/>
            </w:r>
            <w:r w:rsidR="00453826">
              <w:t>Project Amendments</w:t>
            </w:r>
            <w:r w:rsidR="00FA5EFB">
              <w:t xml:space="preserve"> and Reconciliation</w:t>
            </w:r>
          </w:p>
        </w:tc>
      </w:tr>
      <w:tr w:rsidR="00453826" w14:paraId="32C1F0BF" w14:textId="77777777" w:rsidTr="008D6CEC">
        <w:tblPrEx>
          <w:tblCellMar>
            <w:right w:w="0" w:type="dxa"/>
          </w:tblCellMar>
        </w:tblPrEx>
        <w:tc>
          <w:tcPr>
            <w:tcW w:w="2889" w:type="dxa"/>
            <w:vMerge w:val="restart"/>
            <w:tcBorders>
              <w:top w:val="single" w:sz="4" w:space="0" w:color="999999"/>
              <w:right w:val="single" w:sz="4" w:space="0" w:color="A6A6A6" w:themeColor="background1" w:themeShade="A6"/>
            </w:tcBorders>
            <w:noWrap/>
            <w:tcMar>
              <w:top w:w="15" w:type="dxa"/>
              <w:left w:w="15" w:type="dxa"/>
              <w:bottom w:w="0" w:type="dxa"/>
              <w:right w:w="15" w:type="dxa"/>
            </w:tcMar>
          </w:tcPr>
          <w:p w14:paraId="79676DFF" w14:textId="4952AC8D" w:rsidR="00453826" w:rsidRDefault="00453826" w:rsidP="00532F9D">
            <w:pPr>
              <w:spacing w:before="60"/>
              <w:rPr>
                <w:b/>
              </w:rPr>
            </w:pPr>
            <w:r>
              <w:rPr>
                <w:b/>
              </w:rPr>
              <w:t>ICES Project PIA Amendment History</w:t>
            </w:r>
            <w:r w:rsidR="00131B90">
              <w:rPr>
                <w:b/>
              </w:rPr>
              <w:t xml:space="preserve"> (add additional rows as needed)</w:t>
            </w:r>
            <w:r>
              <w:rPr>
                <w:b/>
              </w:rPr>
              <w:t>:</w:t>
            </w:r>
          </w:p>
        </w:tc>
        <w:tc>
          <w:tcPr>
            <w:tcW w:w="1262" w:type="dxa"/>
            <w:tcBorders>
              <w:top w:val="single" w:sz="4" w:space="0" w:color="999999"/>
              <w:left w:val="single" w:sz="4" w:space="0" w:color="A6A6A6" w:themeColor="background1" w:themeShade="A6"/>
              <w:bottom w:val="single" w:sz="4" w:space="0" w:color="999999"/>
            </w:tcBorders>
            <w:shd w:val="pct15" w:color="auto" w:fill="auto"/>
          </w:tcPr>
          <w:p w14:paraId="0FF3D157" w14:textId="77777777" w:rsidR="00453826" w:rsidRPr="00453826" w:rsidRDefault="00453826" w:rsidP="00532F9D">
            <w:pPr>
              <w:spacing w:before="60"/>
              <w:rPr>
                <w:i/>
                <w:color w:val="365F91" w:themeColor="accent1" w:themeShade="BF"/>
                <w:sz w:val="16"/>
              </w:rPr>
            </w:pPr>
            <w:r w:rsidRPr="00453826">
              <w:rPr>
                <w:i/>
                <w:color w:val="365F91" w:themeColor="accent1" w:themeShade="BF"/>
                <w:sz w:val="16"/>
              </w:rPr>
              <w:t>Privacy approval date</w:t>
            </w:r>
          </w:p>
        </w:tc>
        <w:tc>
          <w:tcPr>
            <w:tcW w:w="1894" w:type="dxa"/>
            <w:tcBorders>
              <w:top w:val="single" w:sz="4" w:space="0" w:color="999999"/>
              <w:bottom w:val="single" w:sz="4" w:space="0" w:color="999999"/>
            </w:tcBorders>
            <w:shd w:val="pct15" w:color="auto" w:fill="auto"/>
          </w:tcPr>
          <w:p w14:paraId="17B2BA45" w14:textId="77777777" w:rsidR="00453826" w:rsidRPr="00453826" w:rsidRDefault="00453826" w:rsidP="00532F9D">
            <w:pPr>
              <w:spacing w:before="60"/>
              <w:rPr>
                <w:i/>
                <w:color w:val="365F91" w:themeColor="accent1" w:themeShade="BF"/>
                <w:sz w:val="16"/>
              </w:rPr>
            </w:pPr>
            <w:r w:rsidRPr="00453826">
              <w:rPr>
                <w:i/>
                <w:color w:val="365F91" w:themeColor="accent1" w:themeShade="BF"/>
                <w:sz w:val="16"/>
              </w:rPr>
              <w:t>Person who submitted amendment</w:t>
            </w:r>
          </w:p>
        </w:tc>
        <w:tc>
          <w:tcPr>
            <w:tcW w:w="4050" w:type="dxa"/>
            <w:tcBorders>
              <w:top w:val="single" w:sz="4" w:space="0" w:color="999999"/>
              <w:bottom w:val="single" w:sz="4" w:space="0" w:color="999999"/>
            </w:tcBorders>
            <w:shd w:val="pct15" w:color="auto" w:fill="auto"/>
          </w:tcPr>
          <w:p w14:paraId="3EA09D5E" w14:textId="5DE956E4" w:rsidR="00453826" w:rsidRPr="00453826" w:rsidRDefault="00453826" w:rsidP="00D537B7">
            <w:pPr>
              <w:spacing w:before="60"/>
              <w:rPr>
                <w:i/>
                <w:color w:val="365F91" w:themeColor="accent1" w:themeShade="BF"/>
                <w:sz w:val="16"/>
              </w:rPr>
            </w:pPr>
            <w:r w:rsidRPr="00453826">
              <w:rPr>
                <w:i/>
                <w:color w:val="365F91" w:themeColor="accent1" w:themeShade="BF"/>
                <w:sz w:val="16"/>
              </w:rPr>
              <w:t xml:space="preserve">Note that any changes to the list of ICES Data or Project Objectives require </w:t>
            </w:r>
            <w:r w:rsidR="004428D7">
              <w:rPr>
                <w:i/>
                <w:color w:val="365F91" w:themeColor="accent1" w:themeShade="BF"/>
                <w:sz w:val="16"/>
              </w:rPr>
              <w:t>an ICES Project PIA Amendment</w:t>
            </w:r>
          </w:p>
        </w:tc>
      </w:tr>
      <w:tr w:rsidR="00453826" w14:paraId="2ACE8385" w14:textId="77777777" w:rsidTr="008D6CEC">
        <w:tblPrEx>
          <w:tblCellMar>
            <w:right w:w="0" w:type="dxa"/>
          </w:tblCellMar>
        </w:tblPrEx>
        <w:tc>
          <w:tcPr>
            <w:tcW w:w="2889" w:type="dxa"/>
            <w:vMerge/>
            <w:tcBorders>
              <w:right w:val="single" w:sz="4" w:space="0" w:color="A6A6A6" w:themeColor="background1" w:themeShade="A6"/>
            </w:tcBorders>
            <w:noWrap/>
            <w:tcMar>
              <w:top w:w="15" w:type="dxa"/>
              <w:left w:w="15" w:type="dxa"/>
              <w:bottom w:w="0" w:type="dxa"/>
              <w:right w:w="15" w:type="dxa"/>
            </w:tcMar>
          </w:tcPr>
          <w:p w14:paraId="553DA1CF" w14:textId="77777777" w:rsidR="00453826" w:rsidRDefault="00453826" w:rsidP="00532F9D">
            <w:pPr>
              <w:spacing w:before="60"/>
              <w:rPr>
                <w:b/>
              </w:rPr>
            </w:pPr>
          </w:p>
        </w:tc>
        <w:tc>
          <w:tcPr>
            <w:tcW w:w="1262" w:type="dxa"/>
            <w:tcBorders>
              <w:top w:val="single" w:sz="4" w:space="0" w:color="999999"/>
              <w:left w:val="single" w:sz="4" w:space="0" w:color="A6A6A6" w:themeColor="background1" w:themeShade="A6"/>
              <w:bottom w:val="single" w:sz="4" w:space="0" w:color="999999"/>
            </w:tcBorders>
            <w:shd w:val="clear" w:color="auto" w:fill="auto"/>
          </w:tcPr>
          <w:p w14:paraId="3875548C" w14:textId="77777777" w:rsidR="00453826" w:rsidRPr="00453826" w:rsidRDefault="00453826" w:rsidP="00532F9D">
            <w:pPr>
              <w:spacing w:before="60"/>
              <w:rPr>
                <w:b/>
                <w:i/>
              </w:rPr>
            </w:pPr>
            <w:r w:rsidRPr="00453826">
              <w:rPr>
                <w:b/>
                <w:i/>
              </w:rPr>
              <w:t>Date</w:t>
            </w:r>
          </w:p>
        </w:tc>
        <w:tc>
          <w:tcPr>
            <w:tcW w:w="1894" w:type="dxa"/>
            <w:tcBorders>
              <w:top w:val="single" w:sz="4" w:space="0" w:color="999999"/>
              <w:bottom w:val="single" w:sz="4" w:space="0" w:color="999999"/>
            </w:tcBorders>
            <w:shd w:val="clear" w:color="auto" w:fill="auto"/>
          </w:tcPr>
          <w:p w14:paraId="08394A3E" w14:textId="77777777" w:rsidR="00453826" w:rsidRPr="00453826" w:rsidRDefault="00453826" w:rsidP="00532F9D">
            <w:pPr>
              <w:spacing w:before="60"/>
              <w:rPr>
                <w:b/>
                <w:i/>
                <w:color w:val="4F81BD" w:themeColor="accent1"/>
              </w:rPr>
            </w:pPr>
            <w:r w:rsidRPr="00453826">
              <w:rPr>
                <w:b/>
                <w:i/>
              </w:rPr>
              <w:t>Name</w:t>
            </w:r>
          </w:p>
        </w:tc>
        <w:tc>
          <w:tcPr>
            <w:tcW w:w="4050" w:type="dxa"/>
            <w:tcBorders>
              <w:top w:val="single" w:sz="4" w:space="0" w:color="999999"/>
              <w:bottom w:val="single" w:sz="4" w:space="0" w:color="999999"/>
            </w:tcBorders>
            <w:shd w:val="clear" w:color="auto" w:fill="auto"/>
          </w:tcPr>
          <w:p w14:paraId="18E1D5A9" w14:textId="77777777" w:rsidR="00453826" w:rsidRPr="00453826" w:rsidRDefault="00453826" w:rsidP="00532F9D">
            <w:pPr>
              <w:spacing w:before="60"/>
              <w:rPr>
                <w:b/>
                <w:i/>
                <w:color w:val="4F81BD" w:themeColor="accent1"/>
              </w:rPr>
            </w:pPr>
            <w:r w:rsidRPr="00453826">
              <w:rPr>
                <w:b/>
                <w:i/>
              </w:rPr>
              <w:t>Amendment</w:t>
            </w:r>
          </w:p>
        </w:tc>
      </w:tr>
      <w:tr w:rsidR="00453826" w14:paraId="26B252EF" w14:textId="77777777" w:rsidTr="008D6CEC">
        <w:tblPrEx>
          <w:tblCellMar>
            <w:right w:w="0" w:type="dxa"/>
          </w:tblCellMar>
        </w:tblPrEx>
        <w:tc>
          <w:tcPr>
            <w:tcW w:w="2889" w:type="dxa"/>
            <w:vMerge/>
            <w:tcBorders>
              <w:bottom w:val="single" w:sz="4" w:space="0" w:color="999999"/>
              <w:right w:val="single" w:sz="4" w:space="0" w:color="A6A6A6" w:themeColor="background1" w:themeShade="A6"/>
            </w:tcBorders>
            <w:noWrap/>
            <w:tcMar>
              <w:top w:w="15" w:type="dxa"/>
              <w:left w:w="15" w:type="dxa"/>
              <w:bottom w:w="0" w:type="dxa"/>
              <w:right w:w="15" w:type="dxa"/>
            </w:tcMar>
          </w:tcPr>
          <w:p w14:paraId="4F9857F6" w14:textId="77777777" w:rsidR="00453826" w:rsidRDefault="00453826" w:rsidP="00532F9D">
            <w:pPr>
              <w:spacing w:before="60"/>
              <w:rPr>
                <w:b/>
              </w:rPr>
            </w:pPr>
          </w:p>
        </w:tc>
        <w:tc>
          <w:tcPr>
            <w:tcW w:w="1262" w:type="dxa"/>
            <w:tcBorders>
              <w:top w:val="single" w:sz="4" w:space="0" w:color="999999"/>
              <w:left w:val="single" w:sz="4" w:space="0" w:color="A6A6A6" w:themeColor="background1" w:themeShade="A6"/>
              <w:bottom w:val="single" w:sz="4" w:space="0" w:color="999999"/>
            </w:tcBorders>
          </w:tcPr>
          <w:p w14:paraId="22735F9F" w14:textId="77777777" w:rsidR="00453826" w:rsidRPr="008D2F0B" w:rsidRDefault="00453826" w:rsidP="00532F9D">
            <w:pPr>
              <w:spacing w:before="60"/>
            </w:pPr>
            <w:proofErr w:type="spellStart"/>
            <w:r>
              <w:t>yyyy</w:t>
            </w:r>
            <w:proofErr w:type="spellEnd"/>
            <w:r>
              <w:t>-mon-dd</w:t>
            </w:r>
          </w:p>
        </w:tc>
        <w:tc>
          <w:tcPr>
            <w:tcW w:w="1894" w:type="dxa"/>
            <w:tcBorders>
              <w:top w:val="single" w:sz="4" w:space="0" w:color="999999"/>
              <w:bottom w:val="single" w:sz="4" w:space="0" w:color="999999"/>
            </w:tcBorders>
          </w:tcPr>
          <w:p w14:paraId="3F2815C7" w14:textId="77777777" w:rsidR="00453826" w:rsidRPr="00435BE2" w:rsidRDefault="00453826" w:rsidP="00532F9D">
            <w:pPr>
              <w:spacing w:before="60"/>
            </w:pPr>
          </w:p>
        </w:tc>
        <w:tc>
          <w:tcPr>
            <w:tcW w:w="4050" w:type="dxa"/>
            <w:tcBorders>
              <w:top w:val="single" w:sz="4" w:space="0" w:color="999999"/>
              <w:bottom w:val="single" w:sz="4" w:space="0" w:color="999999"/>
            </w:tcBorders>
          </w:tcPr>
          <w:p w14:paraId="7FD843EA" w14:textId="77777777" w:rsidR="00453826" w:rsidRPr="00BC3C13" w:rsidRDefault="00453826" w:rsidP="00532F9D">
            <w:pPr>
              <w:spacing w:before="60"/>
            </w:pPr>
          </w:p>
        </w:tc>
      </w:tr>
      <w:tr w:rsidR="00111ADE" w14:paraId="1FBC9D4B" w14:textId="77777777" w:rsidTr="008D6CEC">
        <w:tc>
          <w:tcPr>
            <w:tcW w:w="2889" w:type="dxa"/>
            <w:vMerge w:val="restart"/>
            <w:tcBorders>
              <w:top w:val="single" w:sz="4" w:space="0" w:color="999999"/>
              <w:right w:val="single" w:sz="4" w:space="0" w:color="A6A6A6" w:themeColor="background1" w:themeShade="A6"/>
            </w:tcBorders>
            <w:noWrap/>
            <w:tcMar>
              <w:top w:w="15" w:type="dxa"/>
              <w:left w:w="15" w:type="dxa"/>
              <w:bottom w:w="0" w:type="dxa"/>
              <w:right w:w="15" w:type="dxa"/>
            </w:tcMar>
          </w:tcPr>
          <w:p w14:paraId="3E4B1667" w14:textId="54512DB0" w:rsidR="00111ADE" w:rsidRDefault="00111ADE" w:rsidP="009E5A89">
            <w:pPr>
              <w:spacing w:before="60"/>
              <w:rPr>
                <w:b/>
              </w:rPr>
            </w:pPr>
            <w:r>
              <w:rPr>
                <w:b/>
              </w:rPr>
              <w:t xml:space="preserve">DCP Amendment </w:t>
            </w:r>
            <w:r w:rsidRPr="00744AC7">
              <w:rPr>
                <w:b/>
              </w:rPr>
              <w:t>History</w:t>
            </w:r>
            <w:r w:rsidR="00131B90">
              <w:rPr>
                <w:b/>
              </w:rPr>
              <w:t xml:space="preserve"> (add additional rows as needed)</w:t>
            </w:r>
            <w:r w:rsidRPr="00744AC7">
              <w:rPr>
                <w:b/>
              </w:rPr>
              <w:t>:</w:t>
            </w:r>
          </w:p>
        </w:tc>
        <w:tc>
          <w:tcPr>
            <w:tcW w:w="1262" w:type="dxa"/>
            <w:tcBorders>
              <w:top w:val="single" w:sz="4" w:space="0" w:color="999999"/>
              <w:left w:val="single" w:sz="4" w:space="0" w:color="A6A6A6" w:themeColor="background1" w:themeShade="A6"/>
              <w:bottom w:val="single" w:sz="4" w:space="0" w:color="999999"/>
            </w:tcBorders>
            <w:shd w:val="pct15" w:color="auto" w:fill="auto"/>
            <w:vAlign w:val="bottom"/>
          </w:tcPr>
          <w:p w14:paraId="61A7521F" w14:textId="5B82376A" w:rsidR="00111ADE" w:rsidRPr="00453826" w:rsidRDefault="00111ADE" w:rsidP="00031AD0">
            <w:pPr>
              <w:spacing w:before="60"/>
              <w:rPr>
                <w:i/>
                <w:color w:val="365F91" w:themeColor="accent1" w:themeShade="BF"/>
                <w:sz w:val="16"/>
              </w:rPr>
            </w:pPr>
            <w:r w:rsidRPr="00453826">
              <w:rPr>
                <w:i/>
                <w:color w:val="365F91" w:themeColor="accent1" w:themeShade="BF"/>
                <w:sz w:val="16"/>
              </w:rPr>
              <w:t>Date DCP amended</w:t>
            </w:r>
          </w:p>
        </w:tc>
        <w:tc>
          <w:tcPr>
            <w:tcW w:w="1894" w:type="dxa"/>
            <w:tcBorders>
              <w:top w:val="single" w:sz="4" w:space="0" w:color="999999"/>
              <w:bottom w:val="single" w:sz="4" w:space="0" w:color="999999"/>
            </w:tcBorders>
            <w:shd w:val="pct15" w:color="auto" w:fill="auto"/>
            <w:vAlign w:val="bottom"/>
          </w:tcPr>
          <w:p w14:paraId="6B064DE5" w14:textId="0A3ADEB5" w:rsidR="00111ADE" w:rsidRPr="00453826" w:rsidRDefault="00111ADE" w:rsidP="00031AD0">
            <w:pPr>
              <w:spacing w:before="60"/>
              <w:rPr>
                <w:i/>
                <w:color w:val="365F91" w:themeColor="accent1" w:themeShade="BF"/>
                <w:sz w:val="16"/>
              </w:rPr>
            </w:pPr>
            <w:r w:rsidRPr="00453826">
              <w:rPr>
                <w:i/>
                <w:color w:val="365F91" w:themeColor="accent1" w:themeShade="BF"/>
                <w:sz w:val="16"/>
              </w:rPr>
              <w:t xml:space="preserve">Person who made the </w:t>
            </w:r>
            <w:r w:rsidR="008A5470" w:rsidRPr="00453826">
              <w:rPr>
                <w:i/>
                <w:color w:val="365F91" w:themeColor="accent1" w:themeShade="BF"/>
                <w:sz w:val="16"/>
              </w:rPr>
              <w:t xml:space="preserve">DCP </w:t>
            </w:r>
            <w:r w:rsidRPr="00453826">
              <w:rPr>
                <w:i/>
                <w:color w:val="365F91" w:themeColor="accent1" w:themeShade="BF"/>
                <w:sz w:val="16"/>
              </w:rPr>
              <w:t>amendment</w:t>
            </w:r>
          </w:p>
        </w:tc>
        <w:tc>
          <w:tcPr>
            <w:tcW w:w="4050" w:type="dxa"/>
            <w:tcBorders>
              <w:top w:val="single" w:sz="4" w:space="0" w:color="999999"/>
              <w:bottom w:val="single" w:sz="4" w:space="0" w:color="999999"/>
            </w:tcBorders>
            <w:shd w:val="pct15" w:color="auto" w:fill="auto"/>
            <w:vAlign w:val="bottom"/>
          </w:tcPr>
          <w:p w14:paraId="6BE733D7" w14:textId="225FB675" w:rsidR="00D23E0A" w:rsidRPr="00453826" w:rsidRDefault="00111ADE" w:rsidP="00031AD0">
            <w:pPr>
              <w:spacing w:before="60"/>
              <w:rPr>
                <w:i/>
                <w:color w:val="365F91" w:themeColor="accent1" w:themeShade="BF"/>
                <w:sz w:val="16"/>
              </w:rPr>
            </w:pPr>
            <w:r w:rsidRPr="00453826">
              <w:rPr>
                <w:i/>
                <w:color w:val="365F91" w:themeColor="accent1" w:themeShade="BF"/>
                <w:sz w:val="16"/>
              </w:rPr>
              <w:t xml:space="preserve">Note that any DCP amendments involving changes to the list of ICES Data or Project Objectives require </w:t>
            </w:r>
            <w:r w:rsidR="004428D7">
              <w:rPr>
                <w:i/>
                <w:color w:val="365F91" w:themeColor="accent1" w:themeShade="BF"/>
                <w:sz w:val="16"/>
              </w:rPr>
              <w:t>an ICES Project PIA Amendment</w:t>
            </w:r>
          </w:p>
        </w:tc>
      </w:tr>
      <w:tr w:rsidR="00111ADE" w14:paraId="0FEA933E" w14:textId="77777777" w:rsidTr="008D6CEC">
        <w:tc>
          <w:tcPr>
            <w:tcW w:w="2889" w:type="dxa"/>
            <w:vMerge/>
            <w:tcBorders>
              <w:right w:val="single" w:sz="4" w:space="0" w:color="A6A6A6" w:themeColor="background1" w:themeShade="A6"/>
            </w:tcBorders>
            <w:noWrap/>
            <w:tcMar>
              <w:top w:w="15" w:type="dxa"/>
              <w:left w:w="15" w:type="dxa"/>
              <w:bottom w:w="0" w:type="dxa"/>
              <w:right w:w="15" w:type="dxa"/>
            </w:tcMar>
          </w:tcPr>
          <w:p w14:paraId="73E787A6" w14:textId="6BF3088C" w:rsidR="00111ADE" w:rsidRDefault="00111ADE" w:rsidP="009E5A89">
            <w:pPr>
              <w:spacing w:before="60"/>
              <w:rPr>
                <w:b/>
              </w:rPr>
            </w:pPr>
          </w:p>
        </w:tc>
        <w:tc>
          <w:tcPr>
            <w:tcW w:w="1262" w:type="dxa"/>
            <w:tcBorders>
              <w:top w:val="single" w:sz="4" w:space="0" w:color="999999"/>
              <w:left w:val="single" w:sz="4" w:space="0" w:color="A6A6A6" w:themeColor="background1" w:themeShade="A6"/>
              <w:bottom w:val="single" w:sz="4" w:space="0" w:color="999999"/>
            </w:tcBorders>
            <w:shd w:val="clear" w:color="auto" w:fill="auto"/>
          </w:tcPr>
          <w:p w14:paraId="144BD329" w14:textId="1E023D00" w:rsidR="00111ADE" w:rsidRPr="00453826" w:rsidRDefault="00111ADE" w:rsidP="009E5A89">
            <w:pPr>
              <w:spacing w:before="60"/>
              <w:rPr>
                <w:b/>
                <w:i/>
              </w:rPr>
            </w:pPr>
            <w:r w:rsidRPr="00453826">
              <w:rPr>
                <w:b/>
                <w:i/>
              </w:rPr>
              <w:t>Date</w:t>
            </w:r>
          </w:p>
        </w:tc>
        <w:tc>
          <w:tcPr>
            <w:tcW w:w="1894" w:type="dxa"/>
            <w:tcBorders>
              <w:top w:val="single" w:sz="4" w:space="0" w:color="999999"/>
              <w:bottom w:val="single" w:sz="4" w:space="0" w:color="999999"/>
            </w:tcBorders>
            <w:shd w:val="clear" w:color="auto" w:fill="auto"/>
          </w:tcPr>
          <w:p w14:paraId="3BF075EE" w14:textId="56EADB93" w:rsidR="00111ADE" w:rsidRPr="00453826" w:rsidRDefault="00111ADE" w:rsidP="009E5A89">
            <w:pPr>
              <w:spacing w:before="60"/>
              <w:rPr>
                <w:b/>
                <w:i/>
              </w:rPr>
            </w:pPr>
            <w:r w:rsidRPr="00453826">
              <w:rPr>
                <w:b/>
                <w:i/>
              </w:rPr>
              <w:t>Name</w:t>
            </w:r>
          </w:p>
        </w:tc>
        <w:tc>
          <w:tcPr>
            <w:tcW w:w="4050" w:type="dxa"/>
            <w:tcBorders>
              <w:top w:val="single" w:sz="4" w:space="0" w:color="999999"/>
              <w:bottom w:val="single" w:sz="4" w:space="0" w:color="999999"/>
            </w:tcBorders>
            <w:shd w:val="clear" w:color="auto" w:fill="auto"/>
          </w:tcPr>
          <w:p w14:paraId="12E9017B" w14:textId="4DFD178D" w:rsidR="00111ADE" w:rsidRPr="00453826" w:rsidRDefault="00111ADE" w:rsidP="009E5A89">
            <w:pPr>
              <w:spacing w:before="60"/>
              <w:rPr>
                <w:b/>
                <w:i/>
              </w:rPr>
            </w:pPr>
            <w:r w:rsidRPr="00453826">
              <w:rPr>
                <w:b/>
                <w:i/>
              </w:rPr>
              <w:t>Amendment</w:t>
            </w:r>
          </w:p>
        </w:tc>
      </w:tr>
      <w:tr w:rsidR="00111ADE" w14:paraId="2C1A8BBD" w14:textId="77777777" w:rsidTr="00880DB7">
        <w:tc>
          <w:tcPr>
            <w:tcW w:w="2889" w:type="dxa"/>
            <w:vMerge/>
            <w:tcBorders>
              <w:bottom w:val="single" w:sz="4" w:space="0" w:color="999999"/>
              <w:right w:val="single" w:sz="4" w:space="0" w:color="A6A6A6" w:themeColor="background1" w:themeShade="A6"/>
            </w:tcBorders>
            <w:noWrap/>
            <w:tcMar>
              <w:top w:w="15" w:type="dxa"/>
              <w:left w:w="15" w:type="dxa"/>
              <w:bottom w:w="0" w:type="dxa"/>
              <w:right w:w="15" w:type="dxa"/>
            </w:tcMar>
          </w:tcPr>
          <w:p w14:paraId="2C1A8BBB" w14:textId="5710ECA5" w:rsidR="00111ADE" w:rsidRPr="00744AC7" w:rsidRDefault="00111ADE" w:rsidP="009E5A89">
            <w:pPr>
              <w:spacing w:before="60"/>
              <w:rPr>
                <w:b/>
              </w:rPr>
            </w:pPr>
          </w:p>
        </w:tc>
        <w:tc>
          <w:tcPr>
            <w:tcW w:w="1262" w:type="dxa"/>
            <w:tcBorders>
              <w:top w:val="single" w:sz="4" w:space="0" w:color="999999"/>
              <w:left w:val="single" w:sz="4" w:space="0" w:color="A6A6A6" w:themeColor="background1" w:themeShade="A6"/>
              <w:bottom w:val="single" w:sz="4" w:space="0" w:color="999999"/>
            </w:tcBorders>
          </w:tcPr>
          <w:p w14:paraId="6FA7A3BF" w14:textId="32495177" w:rsidR="00111ADE" w:rsidRDefault="00111ADE" w:rsidP="009E5A89">
            <w:pPr>
              <w:spacing w:before="60"/>
            </w:pPr>
            <w:proofErr w:type="spellStart"/>
            <w:r>
              <w:t>yyyy</w:t>
            </w:r>
            <w:proofErr w:type="spellEnd"/>
            <w:r>
              <w:t>-mon-dd</w:t>
            </w:r>
          </w:p>
        </w:tc>
        <w:tc>
          <w:tcPr>
            <w:tcW w:w="1894" w:type="dxa"/>
            <w:tcBorders>
              <w:top w:val="single" w:sz="4" w:space="0" w:color="999999"/>
              <w:bottom w:val="single" w:sz="4" w:space="0" w:color="999999"/>
            </w:tcBorders>
          </w:tcPr>
          <w:p w14:paraId="2844BC10" w14:textId="615FDDFA" w:rsidR="00111ADE" w:rsidRPr="00111ADE" w:rsidRDefault="00111ADE" w:rsidP="009E5A89">
            <w:pPr>
              <w:spacing w:before="60"/>
            </w:pPr>
          </w:p>
        </w:tc>
        <w:tc>
          <w:tcPr>
            <w:tcW w:w="4050" w:type="dxa"/>
            <w:tcBorders>
              <w:top w:val="single" w:sz="4" w:space="0" w:color="999999"/>
              <w:bottom w:val="single" w:sz="4" w:space="0" w:color="999999"/>
            </w:tcBorders>
          </w:tcPr>
          <w:p w14:paraId="2C1A8BBC" w14:textId="5F3D54F3" w:rsidR="00111ADE" w:rsidRPr="00111ADE" w:rsidRDefault="00111ADE" w:rsidP="009E5A89">
            <w:pPr>
              <w:spacing w:before="60"/>
            </w:pPr>
          </w:p>
        </w:tc>
      </w:tr>
      <w:tr w:rsidR="00C73A3F" w14:paraId="10255AD0" w14:textId="77777777" w:rsidTr="008D6CEC">
        <w:tc>
          <w:tcPr>
            <w:tcW w:w="2889" w:type="dxa"/>
            <w:vMerge w:val="restart"/>
            <w:tcBorders>
              <w:top w:val="single" w:sz="4" w:space="0" w:color="999999"/>
              <w:right w:val="single" w:sz="4" w:space="0" w:color="A6A6A6" w:themeColor="background1" w:themeShade="A6"/>
            </w:tcBorders>
            <w:noWrap/>
            <w:tcMar>
              <w:top w:w="15" w:type="dxa"/>
              <w:left w:w="15" w:type="dxa"/>
              <w:bottom w:w="0" w:type="dxa"/>
              <w:right w:w="15" w:type="dxa"/>
            </w:tcMar>
          </w:tcPr>
          <w:p w14:paraId="73166514" w14:textId="561E3D23" w:rsidR="00C73A3F" w:rsidRDefault="00C73A3F" w:rsidP="007A4B57">
            <w:pPr>
              <w:spacing w:before="60"/>
              <w:rPr>
                <w:b/>
              </w:rPr>
            </w:pPr>
            <w:r>
              <w:rPr>
                <w:b/>
              </w:rPr>
              <w:t>Date Programs/DCP reconciled</w:t>
            </w:r>
          </w:p>
        </w:tc>
        <w:tc>
          <w:tcPr>
            <w:tcW w:w="7206" w:type="dxa"/>
            <w:gridSpan w:val="3"/>
            <w:tcBorders>
              <w:top w:val="single" w:sz="4" w:space="0" w:color="999999"/>
              <w:left w:val="single" w:sz="4" w:space="0" w:color="A6A6A6" w:themeColor="background1" w:themeShade="A6"/>
              <w:bottom w:val="single" w:sz="4" w:space="0" w:color="999999"/>
            </w:tcBorders>
            <w:shd w:val="pct15" w:color="auto" w:fill="auto"/>
          </w:tcPr>
          <w:p w14:paraId="3D30B1E4" w14:textId="70DA39B5" w:rsidR="00C73A3F" w:rsidRDefault="004F604C" w:rsidP="00DD3014">
            <w:pPr>
              <w:spacing w:before="60"/>
            </w:pPr>
            <w:r w:rsidRPr="00453826">
              <w:rPr>
                <w:i/>
                <w:color w:val="365F91" w:themeColor="accent1" w:themeShade="BF"/>
                <w:sz w:val="16"/>
              </w:rPr>
              <w:t xml:space="preserve">The </w:t>
            </w:r>
            <w:r w:rsidR="00DD3014">
              <w:rPr>
                <w:i/>
                <w:color w:val="365F91" w:themeColor="accent1" w:themeShade="BF"/>
                <w:sz w:val="16"/>
              </w:rPr>
              <w:t xml:space="preserve">person(s) creating the dataset and/or analyzing the data </w:t>
            </w:r>
            <w:r w:rsidR="00C73A3F" w:rsidRPr="00453826">
              <w:rPr>
                <w:i/>
                <w:color w:val="365F91" w:themeColor="accent1" w:themeShade="BF"/>
                <w:sz w:val="16"/>
              </w:rPr>
              <w:t xml:space="preserve">are responsible for ensuring that </w:t>
            </w:r>
            <w:proofErr w:type="gramStart"/>
            <w:r w:rsidR="00813E65" w:rsidRPr="00453826">
              <w:rPr>
                <w:i/>
                <w:color w:val="365F91" w:themeColor="accent1" w:themeShade="BF"/>
                <w:sz w:val="16"/>
              </w:rPr>
              <w:t xml:space="preserve">the </w:t>
            </w:r>
            <w:r w:rsidR="00C73A3F" w:rsidRPr="00453826">
              <w:rPr>
                <w:i/>
                <w:color w:val="365F91" w:themeColor="accent1" w:themeShade="BF"/>
                <w:sz w:val="16"/>
              </w:rPr>
              <w:t xml:space="preserve"> final</w:t>
            </w:r>
            <w:proofErr w:type="gramEnd"/>
            <w:r w:rsidR="00C73A3F" w:rsidRPr="00453826">
              <w:rPr>
                <w:i/>
                <w:color w:val="365F91" w:themeColor="accent1" w:themeShade="BF"/>
                <w:sz w:val="16"/>
              </w:rPr>
              <w:t xml:space="preserve"> DCP reflects the final program(s) when the project is completed</w:t>
            </w:r>
          </w:p>
        </w:tc>
      </w:tr>
      <w:tr w:rsidR="00C73A3F" w14:paraId="39529FDC" w14:textId="77777777" w:rsidTr="00880DB7">
        <w:tc>
          <w:tcPr>
            <w:tcW w:w="2889" w:type="dxa"/>
            <w:vMerge/>
            <w:tcBorders>
              <w:bottom w:val="single" w:sz="12" w:space="0" w:color="auto"/>
              <w:right w:val="single" w:sz="4" w:space="0" w:color="A6A6A6" w:themeColor="background1" w:themeShade="A6"/>
            </w:tcBorders>
            <w:noWrap/>
            <w:tcMar>
              <w:top w:w="15" w:type="dxa"/>
              <w:left w:w="15" w:type="dxa"/>
              <w:bottom w:w="0" w:type="dxa"/>
              <w:right w:w="15" w:type="dxa"/>
            </w:tcMar>
          </w:tcPr>
          <w:p w14:paraId="0E9DED8D" w14:textId="252D2F2D" w:rsidR="00C73A3F" w:rsidRDefault="00C73A3F" w:rsidP="009E5A89">
            <w:pPr>
              <w:spacing w:before="60"/>
              <w:rPr>
                <w:b/>
              </w:rPr>
            </w:pPr>
          </w:p>
        </w:tc>
        <w:tc>
          <w:tcPr>
            <w:tcW w:w="7206" w:type="dxa"/>
            <w:gridSpan w:val="3"/>
            <w:tcBorders>
              <w:top w:val="single" w:sz="4" w:space="0" w:color="999999"/>
              <w:left w:val="single" w:sz="4" w:space="0" w:color="A6A6A6" w:themeColor="background1" w:themeShade="A6"/>
              <w:bottom w:val="single" w:sz="12" w:space="0" w:color="auto"/>
            </w:tcBorders>
          </w:tcPr>
          <w:p w14:paraId="62462DA9" w14:textId="6D75943A" w:rsidR="00C73A3F" w:rsidRPr="00934BCD" w:rsidRDefault="00C73A3F" w:rsidP="009E5A89">
            <w:pPr>
              <w:spacing w:before="60"/>
              <w:rPr>
                <w:i/>
                <w:color w:val="548DD4" w:themeColor="text2" w:themeTint="99"/>
              </w:rPr>
            </w:pPr>
            <w:proofErr w:type="spellStart"/>
            <w:r>
              <w:t>yyyy</w:t>
            </w:r>
            <w:proofErr w:type="spellEnd"/>
            <w:r>
              <w:t>-mon-dd</w:t>
            </w:r>
          </w:p>
        </w:tc>
      </w:tr>
    </w:tbl>
    <w:p w14:paraId="2906B166" w14:textId="77777777" w:rsidR="00532284" w:rsidRDefault="00532284"/>
    <w:tbl>
      <w:tblPr>
        <w:tblW w:w="10095" w:type="dxa"/>
        <w:tblBorders>
          <w:top w:val="single" w:sz="4" w:space="0" w:color="auto"/>
          <w:bottom w:val="single" w:sz="4" w:space="0" w:color="auto"/>
          <w:insideH w:val="single" w:sz="4" w:space="0" w:color="auto"/>
        </w:tblBorders>
        <w:tblLayout w:type="fixed"/>
        <w:tblCellMar>
          <w:left w:w="0" w:type="dxa"/>
          <w:right w:w="0" w:type="dxa"/>
        </w:tblCellMar>
        <w:tblLook w:val="00A0" w:firstRow="1" w:lastRow="0" w:firstColumn="1" w:lastColumn="0" w:noHBand="0" w:noVBand="0"/>
      </w:tblPr>
      <w:tblGrid>
        <w:gridCol w:w="2625"/>
        <w:gridCol w:w="993"/>
        <w:gridCol w:w="6477"/>
      </w:tblGrid>
      <w:tr w:rsidR="00F504D9" w14:paraId="1D20B8A9" w14:textId="77777777" w:rsidTr="009F2A6B">
        <w:trPr>
          <w:trHeight w:val="189"/>
          <w:tblHeader/>
        </w:trPr>
        <w:tc>
          <w:tcPr>
            <w:tcW w:w="10095" w:type="dxa"/>
            <w:gridSpan w:val="3"/>
            <w:tcBorders>
              <w:top w:val="double" w:sz="4" w:space="0" w:color="auto"/>
              <w:bottom w:val="double" w:sz="4" w:space="0" w:color="auto"/>
            </w:tcBorders>
            <w:shd w:val="clear" w:color="auto" w:fill="E0E0E0"/>
            <w:noWrap/>
            <w:tcMar>
              <w:top w:w="15" w:type="dxa"/>
              <w:left w:w="15" w:type="dxa"/>
              <w:bottom w:w="0" w:type="dxa"/>
              <w:right w:w="15" w:type="dxa"/>
            </w:tcMar>
            <w:vAlign w:val="center"/>
          </w:tcPr>
          <w:p w14:paraId="482DB90B" w14:textId="77777777" w:rsidR="00F504D9" w:rsidRPr="00050356" w:rsidRDefault="00F504D9" w:rsidP="009F2A6B">
            <w:pPr>
              <w:pStyle w:val="Heading2"/>
            </w:pPr>
            <w:r>
              <w:t xml:space="preserve">Project </w:t>
            </w:r>
            <w:r w:rsidRPr="00050356">
              <w:t>Cohort</w:t>
            </w:r>
          </w:p>
        </w:tc>
      </w:tr>
      <w:tr w:rsidR="00F504D9" w14:paraId="7894F34D" w14:textId="77777777" w:rsidTr="00E63293">
        <w:tc>
          <w:tcPr>
            <w:tcW w:w="2625" w:type="dxa"/>
            <w:tcBorders>
              <w:top w:val="double" w:sz="4" w:space="0" w:color="auto"/>
              <w:right w:val="single" w:sz="4" w:space="0" w:color="A6A6A6" w:themeColor="background1" w:themeShade="A6"/>
            </w:tcBorders>
            <w:noWrap/>
            <w:tcMar>
              <w:top w:w="15" w:type="dxa"/>
              <w:left w:w="15" w:type="dxa"/>
              <w:bottom w:w="0" w:type="dxa"/>
              <w:right w:w="15" w:type="dxa"/>
            </w:tcMar>
          </w:tcPr>
          <w:p w14:paraId="0B58E0D2" w14:textId="77777777" w:rsidR="00F504D9" w:rsidRPr="00542D33" w:rsidRDefault="00F504D9" w:rsidP="009F2A6B">
            <w:pPr>
              <w:spacing w:beforeLines="60" w:before="144" w:after="60"/>
              <w:rPr>
                <w:b/>
              </w:rPr>
            </w:pPr>
            <w:r>
              <w:rPr>
                <w:b/>
              </w:rPr>
              <w:t>Study Design</w:t>
            </w:r>
          </w:p>
        </w:tc>
        <w:tc>
          <w:tcPr>
            <w:tcW w:w="7470" w:type="dxa"/>
            <w:gridSpan w:val="2"/>
            <w:tcBorders>
              <w:top w:val="double" w:sz="4" w:space="0" w:color="auto"/>
              <w:left w:val="single" w:sz="4" w:space="0" w:color="A6A6A6" w:themeColor="background1" w:themeShade="A6"/>
              <w:bottom w:val="single" w:sz="4" w:space="0" w:color="auto"/>
            </w:tcBorders>
            <w:shd w:val="clear" w:color="auto" w:fill="auto"/>
            <w:noWrap/>
            <w:tcMar>
              <w:top w:w="15" w:type="dxa"/>
              <w:left w:w="15" w:type="dxa"/>
              <w:bottom w:w="0" w:type="dxa"/>
              <w:right w:w="15" w:type="dxa"/>
            </w:tcMar>
          </w:tcPr>
          <w:p w14:paraId="6BB59F52" w14:textId="3B953199" w:rsidR="00F504D9" w:rsidRDefault="00E871E1" w:rsidP="009F2A6B">
            <w:pPr>
              <w:spacing w:beforeLines="60" w:before="144" w:after="60"/>
            </w:pPr>
            <w:sdt>
              <w:sdtPr>
                <w:id w:val="926542183"/>
                <w14:checkbox>
                  <w14:checked w14:val="0"/>
                  <w14:checkedState w14:val="2612" w14:font="MS Gothic"/>
                  <w14:uncheckedState w14:val="2610" w14:font="MS Gothic"/>
                </w14:checkbox>
              </w:sdtPr>
              <w:sdtEndPr/>
              <w:sdtContent>
                <w:r w:rsidR="00F504D9">
                  <w:rPr>
                    <w:rFonts w:ascii="MS Gothic" w:eastAsia="MS Gothic" w:hAnsi="MS Gothic" w:hint="eastAsia"/>
                  </w:rPr>
                  <w:t>☐</w:t>
                </w:r>
              </w:sdtContent>
            </w:sdt>
            <w:r w:rsidR="00F504D9">
              <w:t xml:space="preserve"> Cohort study</w:t>
            </w:r>
            <w:r w:rsidR="00F504D9">
              <w:tab/>
            </w:r>
            <w:r w:rsidR="00F504D9">
              <w:tab/>
            </w:r>
            <w:sdt>
              <w:sdtPr>
                <w:id w:val="241773995"/>
                <w14:checkbox>
                  <w14:checked w14:val="1"/>
                  <w14:checkedState w14:val="2612" w14:font="MS Gothic"/>
                  <w14:uncheckedState w14:val="2610" w14:font="MS Gothic"/>
                </w14:checkbox>
              </w:sdtPr>
              <w:sdtEndPr/>
              <w:sdtContent>
                <w:r w:rsidR="004D0569">
                  <w:rPr>
                    <w:rFonts w:ascii="MS Gothic" w:eastAsia="MS Gothic" w:hAnsi="MS Gothic" w:hint="eastAsia"/>
                  </w:rPr>
                  <w:t>☒</w:t>
                </w:r>
              </w:sdtContent>
            </w:sdt>
            <w:r w:rsidR="00F504D9">
              <w:t xml:space="preserve"> Matched cohort study</w:t>
            </w:r>
            <w:r w:rsidR="00F504D9">
              <w:tab/>
            </w:r>
            <w:r w:rsidR="00F504D9">
              <w:tab/>
            </w:r>
            <w:sdt>
              <w:sdtPr>
                <w:id w:val="1116181769"/>
                <w14:checkbox>
                  <w14:checked w14:val="0"/>
                  <w14:checkedState w14:val="2612" w14:font="MS Gothic"/>
                  <w14:uncheckedState w14:val="2610" w14:font="MS Gothic"/>
                </w14:checkbox>
              </w:sdtPr>
              <w:sdtEndPr/>
              <w:sdtContent>
                <w:r w:rsidR="00F504D9">
                  <w:rPr>
                    <w:rFonts w:ascii="MS Gothic" w:eastAsia="MS Gothic" w:hAnsi="MS Gothic" w:hint="eastAsia"/>
                  </w:rPr>
                  <w:t>☐</w:t>
                </w:r>
              </w:sdtContent>
            </w:sdt>
            <w:r w:rsidR="00F504D9">
              <w:t xml:space="preserve"> Case-control study</w:t>
            </w:r>
          </w:p>
          <w:p w14:paraId="31ADEE1F" w14:textId="77777777" w:rsidR="00F504D9" w:rsidRDefault="00E871E1" w:rsidP="009F2A6B">
            <w:pPr>
              <w:spacing w:beforeLines="60" w:before="144" w:after="60"/>
            </w:pPr>
            <w:sdt>
              <w:sdtPr>
                <w:id w:val="459083881"/>
                <w14:checkbox>
                  <w14:checked w14:val="0"/>
                  <w14:checkedState w14:val="2612" w14:font="MS Gothic"/>
                  <w14:uncheckedState w14:val="2610" w14:font="MS Gothic"/>
                </w14:checkbox>
              </w:sdtPr>
              <w:sdtEndPr/>
              <w:sdtContent>
                <w:r w:rsidR="00F504D9">
                  <w:rPr>
                    <w:rFonts w:ascii="MS Gothic" w:eastAsia="MS Gothic" w:hAnsi="MS Gothic" w:hint="eastAsia"/>
                  </w:rPr>
                  <w:t>☐</w:t>
                </w:r>
              </w:sdtContent>
            </w:sdt>
            <w:r w:rsidR="00F504D9">
              <w:t xml:space="preserve"> Cross-sectional study</w:t>
            </w:r>
            <w:r w:rsidR="00F504D9">
              <w:tab/>
            </w:r>
            <w:sdt>
              <w:sdtPr>
                <w:id w:val="-1735156260"/>
                <w14:checkbox>
                  <w14:checked w14:val="0"/>
                  <w14:checkedState w14:val="2612" w14:font="MS Gothic"/>
                  <w14:uncheckedState w14:val="2610" w14:font="MS Gothic"/>
                </w14:checkbox>
              </w:sdtPr>
              <w:sdtEndPr/>
              <w:sdtContent>
                <w:r w:rsidR="00F504D9">
                  <w:rPr>
                    <w:rFonts w:ascii="MS Gothic" w:eastAsia="MS Gothic" w:hAnsi="MS Gothic" w:hint="eastAsia"/>
                  </w:rPr>
                  <w:t>☐</w:t>
                </w:r>
              </w:sdtContent>
            </w:sdt>
            <w:r w:rsidR="00F504D9">
              <w:t xml:space="preserve"> Other (specify):  </w:t>
            </w:r>
          </w:p>
        </w:tc>
      </w:tr>
      <w:tr w:rsidR="00F504D9" w14:paraId="7DD8D03D" w14:textId="77777777" w:rsidTr="00E63293">
        <w:trPr>
          <w:trHeight w:val="753"/>
        </w:trPr>
        <w:tc>
          <w:tcPr>
            <w:tcW w:w="2625" w:type="dxa"/>
            <w:tcBorders>
              <w:top w:val="single" w:sz="4" w:space="0" w:color="auto"/>
              <w:right w:val="single" w:sz="4" w:space="0" w:color="A6A6A6" w:themeColor="background1" w:themeShade="A6"/>
            </w:tcBorders>
            <w:noWrap/>
            <w:tcMar>
              <w:top w:w="15" w:type="dxa"/>
              <w:left w:w="15" w:type="dxa"/>
              <w:bottom w:w="0" w:type="dxa"/>
              <w:right w:w="15" w:type="dxa"/>
            </w:tcMar>
          </w:tcPr>
          <w:p w14:paraId="619CC7C7" w14:textId="77777777" w:rsidR="00F504D9" w:rsidRDefault="00F504D9" w:rsidP="006E7F65">
            <w:pPr>
              <w:rPr>
                <w:b/>
              </w:rPr>
            </w:pPr>
            <w:r>
              <w:rPr>
                <w:b/>
              </w:rPr>
              <w:t>Index Event / Inclusion Criteria</w:t>
            </w:r>
          </w:p>
          <w:p w14:paraId="0546BB3A" w14:textId="0720E671" w:rsidR="006E7F65" w:rsidRPr="005F554C" w:rsidRDefault="006E7F65" w:rsidP="006E7F65">
            <w:pPr>
              <w:rPr>
                <w:i/>
                <w:sz w:val="16"/>
                <w:szCs w:val="16"/>
              </w:rPr>
            </w:pPr>
            <w:r w:rsidRPr="005F554C">
              <w:rPr>
                <w:i/>
                <w:sz w:val="16"/>
                <w:szCs w:val="16"/>
              </w:rPr>
              <w:t>(</w:t>
            </w:r>
            <w:r w:rsidR="00B72CA5" w:rsidRPr="005F554C">
              <w:rPr>
                <w:i/>
                <w:sz w:val="16"/>
                <w:szCs w:val="16"/>
              </w:rPr>
              <w:t>please e</w:t>
            </w:r>
            <w:r w:rsidRPr="005F554C">
              <w:rPr>
                <w:i/>
                <w:sz w:val="16"/>
                <w:szCs w:val="16"/>
              </w:rPr>
              <w:t xml:space="preserve">nsure index event / inclusion criteria are specified with data sources, variables, </w:t>
            </w:r>
            <w:r w:rsidR="005F554C" w:rsidRPr="005F554C">
              <w:rPr>
                <w:i/>
                <w:sz w:val="16"/>
                <w:szCs w:val="16"/>
              </w:rPr>
              <w:t xml:space="preserve">study period </w:t>
            </w:r>
            <w:r w:rsidRPr="005F554C">
              <w:rPr>
                <w:i/>
                <w:sz w:val="16"/>
                <w:szCs w:val="16"/>
              </w:rPr>
              <w:t>and values or codes)</w:t>
            </w:r>
          </w:p>
        </w:tc>
        <w:tc>
          <w:tcPr>
            <w:tcW w:w="7470" w:type="dxa"/>
            <w:gridSpan w:val="2"/>
            <w:tcBorders>
              <w:top w:val="single" w:sz="4" w:space="0" w:color="auto"/>
              <w:left w:val="single" w:sz="4" w:space="0" w:color="A6A6A6" w:themeColor="background1" w:themeShade="A6"/>
            </w:tcBorders>
            <w:shd w:val="clear" w:color="auto" w:fill="auto"/>
            <w:noWrap/>
            <w:tcMar>
              <w:top w:w="15" w:type="dxa"/>
              <w:left w:w="15" w:type="dxa"/>
              <w:bottom w:w="0" w:type="dxa"/>
              <w:right w:w="15" w:type="dxa"/>
            </w:tcMar>
          </w:tcPr>
          <w:p w14:paraId="63E119A5" w14:textId="423346B2" w:rsidR="00340F51" w:rsidRDefault="00444D0D" w:rsidP="00DC572B">
            <w:pPr>
              <w:pStyle w:val="BodyText"/>
              <w:rPr>
                <w:lang w:eastAsia="en-GB"/>
              </w:rPr>
            </w:pPr>
            <w:proofErr w:type="spellStart"/>
            <w:r>
              <w:rPr>
                <w:b/>
                <w:bCs/>
                <w:lang w:eastAsia="en-GB"/>
              </w:rPr>
              <w:t>Pateints</w:t>
            </w:r>
            <w:proofErr w:type="spellEnd"/>
            <w:r>
              <w:rPr>
                <w:b/>
                <w:bCs/>
                <w:lang w:eastAsia="en-GB"/>
              </w:rPr>
              <w:t xml:space="preserve"> with </w:t>
            </w:r>
            <w:r w:rsidR="00340F51">
              <w:rPr>
                <w:b/>
                <w:bCs/>
                <w:lang w:eastAsia="en-GB"/>
              </w:rPr>
              <w:t>hypoparathyroidism residing in Ontario</w:t>
            </w:r>
          </w:p>
          <w:p w14:paraId="7746DB8C" w14:textId="1A7FE4EA" w:rsidR="00444D0D" w:rsidRDefault="00444D0D" w:rsidP="00DC572B">
            <w:pPr>
              <w:pStyle w:val="BodyText"/>
              <w:rPr>
                <w:b/>
                <w:bCs/>
                <w:u w:val="single"/>
                <w:lang w:eastAsia="en-GB"/>
              </w:rPr>
            </w:pPr>
          </w:p>
          <w:p w14:paraId="3BDDE6CF" w14:textId="74619167" w:rsidR="00444D0D" w:rsidRDefault="00444D0D" w:rsidP="00DC572B">
            <w:pPr>
              <w:pStyle w:val="BodyText"/>
              <w:rPr>
                <w:b/>
                <w:bCs/>
                <w:u w:val="single"/>
                <w:lang w:eastAsia="en-GB"/>
              </w:rPr>
            </w:pPr>
            <w:r w:rsidRPr="006640CC">
              <w:rPr>
                <w:b/>
                <w:bCs/>
                <w:u w:val="single"/>
                <w:lang w:eastAsia="en-GB"/>
              </w:rPr>
              <w:t>Definition of hypoparathyroidism:</w:t>
            </w:r>
          </w:p>
          <w:p w14:paraId="5E140CE2" w14:textId="60798927" w:rsidR="00444D0D" w:rsidRPr="00444D0D" w:rsidRDefault="00444D0D" w:rsidP="00DC572B">
            <w:pPr>
              <w:pStyle w:val="BodyText"/>
              <w:rPr>
                <w:lang w:eastAsia="en-GB"/>
              </w:rPr>
            </w:pPr>
            <w:r>
              <w:rPr>
                <w:lang w:eastAsia="en-GB"/>
              </w:rPr>
              <w:t>Using DAD and NACRS database, i</w:t>
            </w:r>
            <w:r w:rsidRPr="00444D0D">
              <w:rPr>
                <w:lang w:eastAsia="en-GB"/>
              </w:rPr>
              <w:t xml:space="preserve">nclude </w:t>
            </w:r>
            <w:r>
              <w:rPr>
                <w:lang w:eastAsia="en-GB"/>
              </w:rPr>
              <w:t>hypoparathyroidism patients meeting the following criteria from any diagnosis fields:</w:t>
            </w:r>
          </w:p>
          <w:p w14:paraId="4AEC676B" w14:textId="77777777" w:rsidR="00444D0D" w:rsidRDefault="00444D0D" w:rsidP="009E5DB6">
            <w:pPr>
              <w:pStyle w:val="BodyText"/>
              <w:numPr>
                <w:ilvl w:val="0"/>
                <w:numId w:val="11"/>
              </w:numPr>
              <w:rPr>
                <w:lang w:eastAsia="en-GB"/>
              </w:rPr>
            </w:pPr>
            <w:r>
              <w:rPr>
                <w:lang w:eastAsia="en-GB"/>
              </w:rPr>
              <w:t xml:space="preserve">Patients who have a diagnosis of hypoparathyroidism (ICD-10 codes: E20.0, E20.1, E20.8, E20.9, E89.2), </w:t>
            </w:r>
            <w:r w:rsidRPr="00584BFF">
              <w:rPr>
                <w:b/>
                <w:bCs/>
                <w:lang w:eastAsia="en-GB"/>
              </w:rPr>
              <w:t>OR</w:t>
            </w:r>
          </w:p>
          <w:p w14:paraId="6A485400" w14:textId="7AEF772A" w:rsidR="00444D0D" w:rsidRPr="00903021" w:rsidRDefault="00444D0D" w:rsidP="009E5DB6">
            <w:pPr>
              <w:pStyle w:val="BodyText"/>
              <w:numPr>
                <w:ilvl w:val="0"/>
                <w:numId w:val="11"/>
              </w:numPr>
              <w:rPr>
                <w:lang w:eastAsia="en-GB"/>
              </w:rPr>
            </w:pPr>
            <w:r>
              <w:rPr>
                <w:lang w:eastAsia="en-GB"/>
              </w:rPr>
              <w:t xml:space="preserve">A disorder of calcium </w:t>
            </w:r>
            <w:r w:rsidRPr="00903021">
              <w:rPr>
                <w:lang w:eastAsia="en-GB"/>
              </w:rPr>
              <w:t>metabolism diagnosis (ICD 10 code: E83.5) in the 12 months following any hypoparathyroidism predictive procedure (see</w:t>
            </w:r>
            <w:r w:rsidR="00903021" w:rsidRPr="00903021">
              <w:rPr>
                <w:lang w:eastAsia="en-GB"/>
              </w:rPr>
              <w:t xml:space="preserve"> Table 2 in the</w:t>
            </w:r>
            <w:r w:rsidRPr="00903021">
              <w:rPr>
                <w:lang w:eastAsia="en-GB"/>
              </w:rPr>
              <w:t xml:space="preserve"> Appendix), </w:t>
            </w:r>
            <w:r w:rsidRPr="00903021">
              <w:rPr>
                <w:b/>
                <w:bCs/>
                <w:lang w:eastAsia="en-GB"/>
              </w:rPr>
              <w:t>OR</w:t>
            </w:r>
          </w:p>
          <w:p w14:paraId="73CB85EC" w14:textId="7315DB70" w:rsidR="00444D0D" w:rsidRPr="00903021" w:rsidRDefault="00444D0D" w:rsidP="009E5DB6">
            <w:pPr>
              <w:pStyle w:val="BodyText"/>
              <w:numPr>
                <w:ilvl w:val="0"/>
                <w:numId w:val="11"/>
              </w:numPr>
              <w:rPr>
                <w:lang w:eastAsia="en-GB"/>
              </w:rPr>
            </w:pPr>
            <w:r w:rsidRPr="00903021">
              <w:rPr>
                <w:lang w:eastAsia="en-GB"/>
              </w:rPr>
              <w:t>A disorder of calcium metabolism diagnosis (ICD 10 code: E83.5) in the 12 months prior to or following any hypoparathyroidism predictive diagnosis (see</w:t>
            </w:r>
            <w:r w:rsidR="00903021" w:rsidRPr="00903021">
              <w:rPr>
                <w:lang w:eastAsia="en-GB"/>
              </w:rPr>
              <w:t xml:space="preserve"> Table 3 in the</w:t>
            </w:r>
            <w:r w:rsidRPr="00903021">
              <w:rPr>
                <w:lang w:eastAsia="en-GB"/>
              </w:rPr>
              <w:t xml:space="preserve"> Appendix). </w:t>
            </w:r>
          </w:p>
          <w:p w14:paraId="68BB2E30" w14:textId="6A423D76" w:rsidR="00D7189C" w:rsidRDefault="00D7189C" w:rsidP="00DC572B">
            <w:pPr>
              <w:pStyle w:val="BodyText"/>
              <w:rPr>
                <w:b/>
                <w:bCs/>
                <w:u w:val="single"/>
                <w:lang w:eastAsia="en-GB"/>
              </w:rPr>
            </w:pPr>
          </w:p>
          <w:p w14:paraId="59FDCA6F" w14:textId="4499C216" w:rsidR="00444D0D" w:rsidRDefault="00444D0D" w:rsidP="00DC572B">
            <w:pPr>
              <w:pStyle w:val="BodyText"/>
              <w:rPr>
                <w:lang w:eastAsia="en-GB"/>
              </w:rPr>
            </w:pPr>
            <w:r>
              <w:rPr>
                <w:lang w:eastAsia="en-GB"/>
              </w:rPr>
              <w:t xml:space="preserve">These patients </w:t>
            </w:r>
            <w:r w:rsidRPr="00584BFF">
              <w:rPr>
                <w:lang w:eastAsia="en-GB"/>
              </w:rPr>
              <w:t xml:space="preserve">will be further categorized into chronic hypoparathyroidism </w:t>
            </w:r>
            <w:r>
              <w:rPr>
                <w:lang w:eastAsia="en-GB"/>
              </w:rPr>
              <w:t xml:space="preserve">(incident and prevalent cohorts) </w:t>
            </w:r>
            <w:r w:rsidRPr="00584BFF">
              <w:rPr>
                <w:lang w:eastAsia="en-GB"/>
              </w:rPr>
              <w:t>and poorly controlled hypoparathyroidism</w:t>
            </w:r>
            <w:r>
              <w:rPr>
                <w:lang w:eastAsia="en-GB"/>
              </w:rPr>
              <w:t xml:space="preserve"> (incident and prevalent cohorts)</w:t>
            </w:r>
            <w:r w:rsidRPr="00584BFF">
              <w:rPr>
                <w:lang w:eastAsia="en-GB"/>
              </w:rPr>
              <w:t xml:space="preserve">, </w:t>
            </w:r>
            <w:proofErr w:type="gramStart"/>
            <w:r w:rsidRPr="00584BFF">
              <w:rPr>
                <w:lang w:eastAsia="en-GB"/>
              </w:rPr>
              <w:t>by definition the</w:t>
            </w:r>
            <w:proofErr w:type="gramEnd"/>
            <w:r w:rsidRPr="00584BFF">
              <w:rPr>
                <w:lang w:eastAsia="en-GB"/>
              </w:rPr>
              <w:t xml:space="preserve"> latter is a subset of the former</w:t>
            </w:r>
            <w:r>
              <w:rPr>
                <w:lang w:eastAsia="en-GB"/>
              </w:rPr>
              <w:t>.</w:t>
            </w:r>
          </w:p>
          <w:p w14:paraId="0A3CCFD5" w14:textId="5CBE23EF" w:rsidR="00444D0D" w:rsidRDefault="00444D0D" w:rsidP="00DC572B">
            <w:pPr>
              <w:pStyle w:val="BodyText"/>
              <w:rPr>
                <w:b/>
                <w:bCs/>
                <w:u w:val="single"/>
                <w:lang w:eastAsia="en-GB"/>
              </w:rPr>
            </w:pPr>
          </w:p>
          <w:p w14:paraId="369FFAAA" w14:textId="77777777" w:rsidR="00444D0D" w:rsidRPr="00444D0D" w:rsidRDefault="00444D0D" w:rsidP="009E5DB6">
            <w:pPr>
              <w:pStyle w:val="BodyText"/>
              <w:numPr>
                <w:ilvl w:val="0"/>
                <w:numId w:val="9"/>
              </w:numPr>
              <w:rPr>
                <w:b/>
                <w:bCs/>
                <w:u w:val="single"/>
                <w:lang w:eastAsia="en-GB"/>
              </w:rPr>
            </w:pPr>
            <w:r w:rsidRPr="00444D0D">
              <w:rPr>
                <w:b/>
                <w:bCs/>
                <w:u w:val="single"/>
                <w:lang w:eastAsia="en-GB"/>
              </w:rPr>
              <w:t xml:space="preserve">Chronic </w:t>
            </w:r>
            <w:proofErr w:type="spellStart"/>
            <w:r w:rsidRPr="00444D0D">
              <w:rPr>
                <w:b/>
                <w:bCs/>
                <w:u w:val="single"/>
                <w:lang w:eastAsia="en-GB"/>
              </w:rPr>
              <w:t>Hypoparathroidism</w:t>
            </w:r>
            <w:proofErr w:type="spellEnd"/>
            <w:r w:rsidRPr="00444D0D">
              <w:rPr>
                <w:b/>
                <w:bCs/>
                <w:u w:val="single"/>
                <w:lang w:eastAsia="en-GB"/>
              </w:rPr>
              <w:t>:</w:t>
            </w:r>
          </w:p>
          <w:p w14:paraId="32600F7F" w14:textId="77777777" w:rsidR="00444D0D" w:rsidRDefault="00444D0D" w:rsidP="00DC572B">
            <w:pPr>
              <w:pStyle w:val="BodyText"/>
              <w:ind w:left="360"/>
              <w:rPr>
                <w:lang w:eastAsia="en-GB"/>
              </w:rPr>
            </w:pPr>
            <w:r>
              <w:rPr>
                <w:lang w:eastAsia="en-GB"/>
              </w:rPr>
              <w:t xml:space="preserve">Patients who have hypoparathyroidism </w:t>
            </w:r>
            <w:r w:rsidRPr="00584BFF">
              <w:rPr>
                <w:b/>
                <w:bCs/>
                <w:lang w:eastAsia="en-GB"/>
              </w:rPr>
              <w:t>AND</w:t>
            </w:r>
          </w:p>
          <w:p w14:paraId="2A3F3668" w14:textId="77777777" w:rsidR="00444D0D" w:rsidRDefault="00444D0D" w:rsidP="009E5DB6">
            <w:pPr>
              <w:pStyle w:val="BodyText"/>
              <w:numPr>
                <w:ilvl w:val="0"/>
                <w:numId w:val="6"/>
              </w:numPr>
              <w:ind w:left="720"/>
              <w:rPr>
                <w:lang w:eastAsia="en-GB"/>
              </w:rPr>
            </w:pPr>
            <w:r>
              <w:rPr>
                <w:lang w:eastAsia="en-GB"/>
              </w:rPr>
              <w:t xml:space="preserve">a diagnosis of hypoparathyroidism (as described above), </w:t>
            </w:r>
            <w:r w:rsidRPr="00584BFF">
              <w:rPr>
                <w:b/>
                <w:bCs/>
                <w:lang w:eastAsia="en-GB"/>
              </w:rPr>
              <w:t>OR</w:t>
            </w:r>
          </w:p>
          <w:p w14:paraId="56170142" w14:textId="32B5E98B" w:rsidR="00444D0D" w:rsidRDefault="00444D0D" w:rsidP="009E5DB6">
            <w:pPr>
              <w:pStyle w:val="BodyText"/>
              <w:numPr>
                <w:ilvl w:val="0"/>
                <w:numId w:val="6"/>
              </w:numPr>
              <w:ind w:left="720"/>
              <w:rPr>
                <w:lang w:eastAsia="en-GB"/>
              </w:rPr>
            </w:pPr>
            <w:r>
              <w:rPr>
                <w:lang w:eastAsia="en-GB"/>
              </w:rPr>
              <w:t>a hypoparathyroidism predictive diagnosis (</w:t>
            </w:r>
            <w:r w:rsidR="008631D8">
              <w:rPr>
                <w:lang w:eastAsia="en-GB"/>
              </w:rPr>
              <w:t>Table 3</w:t>
            </w:r>
            <w:r>
              <w:rPr>
                <w:lang w:eastAsia="en-GB"/>
              </w:rPr>
              <w:t xml:space="preserve">), </w:t>
            </w:r>
            <w:r w:rsidRPr="00584BFF">
              <w:rPr>
                <w:b/>
                <w:bCs/>
                <w:lang w:eastAsia="en-GB"/>
              </w:rPr>
              <w:t>OR</w:t>
            </w:r>
          </w:p>
          <w:p w14:paraId="4B9813C6" w14:textId="603F063F" w:rsidR="00444D0D" w:rsidRDefault="00444D0D" w:rsidP="009E5DB6">
            <w:pPr>
              <w:pStyle w:val="BodyText"/>
              <w:numPr>
                <w:ilvl w:val="0"/>
                <w:numId w:val="6"/>
              </w:numPr>
              <w:ind w:left="720"/>
              <w:rPr>
                <w:lang w:eastAsia="en-GB"/>
              </w:rPr>
            </w:pPr>
            <w:r>
              <w:rPr>
                <w:lang w:eastAsia="en-GB"/>
              </w:rPr>
              <w:t>a hypoparathyroidism complication ICD-10 diagnosis (</w:t>
            </w:r>
            <w:r w:rsidR="008631D8">
              <w:rPr>
                <w:lang w:eastAsia="en-GB"/>
              </w:rPr>
              <w:t>Table 5</w:t>
            </w:r>
            <w:r>
              <w:rPr>
                <w:lang w:eastAsia="en-GB"/>
              </w:rPr>
              <w:t>) in the six months to 24 months from first evidence of hypoparathyroidism within an in-hospital setting (including same day surgery, clinic</w:t>
            </w:r>
            <w:r w:rsidR="008631D8">
              <w:rPr>
                <w:lang w:eastAsia="en-GB"/>
              </w:rPr>
              <w:t>,</w:t>
            </w:r>
            <w:r>
              <w:rPr>
                <w:lang w:eastAsia="en-GB"/>
              </w:rPr>
              <w:t xml:space="preserve"> etc</w:t>
            </w:r>
            <w:r w:rsidR="008631D8">
              <w:rPr>
                <w:lang w:eastAsia="en-GB"/>
              </w:rPr>
              <w:t>.</w:t>
            </w:r>
            <w:r>
              <w:rPr>
                <w:lang w:eastAsia="en-GB"/>
              </w:rPr>
              <w:t>)</w:t>
            </w:r>
          </w:p>
          <w:p w14:paraId="53B9ACE5" w14:textId="77777777" w:rsidR="00444D0D" w:rsidRDefault="00444D0D" w:rsidP="00DC572B">
            <w:pPr>
              <w:pStyle w:val="BodyText"/>
              <w:rPr>
                <w:b/>
                <w:bCs/>
                <w:u w:val="single"/>
                <w:lang w:eastAsia="en-GB"/>
              </w:rPr>
            </w:pPr>
          </w:p>
          <w:p w14:paraId="05756A22" w14:textId="742E5A70" w:rsidR="00444D0D" w:rsidRPr="00444D0D" w:rsidRDefault="00444D0D" w:rsidP="00DC572B">
            <w:pPr>
              <w:pStyle w:val="BodyText"/>
              <w:rPr>
                <w:u w:val="single"/>
                <w:lang w:eastAsia="en-GB"/>
              </w:rPr>
            </w:pPr>
            <w:r>
              <w:rPr>
                <w:u w:val="single"/>
                <w:lang w:eastAsia="en-GB"/>
              </w:rPr>
              <w:t>I</w:t>
            </w:r>
            <w:r w:rsidRPr="00444D0D">
              <w:rPr>
                <w:u w:val="single"/>
                <w:lang w:eastAsia="en-GB"/>
              </w:rPr>
              <w:t>ndex date for</w:t>
            </w:r>
            <w:r>
              <w:rPr>
                <w:u w:val="single"/>
                <w:lang w:eastAsia="en-GB"/>
              </w:rPr>
              <w:t xml:space="preserve"> Incident Chronic Hypoparathyroidism:</w:t>
            </w:r>
            <w:r w:rsidRPr="00444D0D">
              <w:rPr>
                <w:u w:val="single"/>
                <w:lang w:eastAsia="en-GB"/>
              </w:rPr>
              <w:t xml:space="preserve"> </w:t>
            </w:r>
          </w:p>
          <w:p w14:paraId="35C33DC8" w14:textId="6D6B1395" w:rsidR="008F6073" w:rsidRDefault="008F6073" w:rsidP="009E5DB6">
            <w:pPr>
              <w:pStyle w:val="BodyText"/>
              <w:numPr>
                <w:ilvl w:val="0"/>
                <w:numId w:val="12"/>
              </w:numPr>
              <w:rPr>
                <w:lang w:eastAsia="en-GB"/>
              </w:rPr>
            </w:pPr>
            <w:r w:rsidRPr="008F6073">
              <w:rPr>
                <w:lang w:eastAsia="en-GB"/>
              </w:rPr>
              <w:t>For patients who:</w:t>
            </w:r>
          </w:p>
          <w:p w14:paraId="1E25E984" w14:textId="4B6271C4" w:rsidR="008F6073" w:rsidRPr="008F6073" w:rsidRDefault="008F6073" w:rsidP="009E5DB6">
            <w:pPr>
              <w:pStyle w:val="BodyText"/>
              <w:numPr>
                <w:ilvl w:val="1"/>
                <w:numId w:val="12"/>
              </w:numPr>
              <w:ind w:left="720"/>
              <w:rPr>
                <w:lang w:eastAsia="en-GB"/>
              </w:rPr>
            </w:pPr>
            <w:r w:rsidRPr="008F6073">
              <w:rPr>
                <w:lang w:eastAsia="en-GB"/>
              </w:rPr>
              <w:lastRenderedPageBreak/>
              <w:t>have a diagnosis of hypoparathyroidism (</w:t>
            </w:r>
            <w:r w:rsidR="00D966E6">
              <w:rPr>
                <w:lang w:eastAsia="en-GB"/>
              </w:rPr>
              <w:t>Table 1</w:t>
            </w:r>
            <w:r w:rsidRPr="008F6073">
              <w:rPr>
                <w:lang w:eastAsia="en-GB"/>
              </w:rPr>
              <w:t xml:space="preserve">), where it occurs between 1 January 2008 and 31 December 2010, and not before, </w:t>
            </w:r>
            <w:r w:rsidR="00DC572B" w:rsidRPr="00DC572B">
              <w:rPr>
                <w:b/>
                <w:bCs/>
                <w:lang w:eastAsia="en-GB"/>
              </w:rPr>
              <w:t>AND</w:t>
            </w:r>
            <w:r w:rsidRPr="008F6073">
              <w:rPr>
                <w:b/>
                <w:lang w:eastAsia="en-GB"/>
              </w:rPr>
              <w:t xml:space="preserve"> </w:t>
            </w:r>
          </w:p>
          <w:p w14:paraId="2F7C363C" w14:textId="1AB348F8" w:rsidR="008F6073" w:rsidRPr="008F6073" w:rsidRDefault="008F6073" w:rsidP="009E5DB6">
            <w:pPr>
              <w:pStyle w:val="BodyText"/>
              <w:numPr>
                <w:ilvl w:val="1"/>
                <w:numId w:val="12"/>
              </w:numPr>
              <w:ind w:left="720"/>
              <w:rPr>
                <w:lang w:eastAsia="en-GB"/>
              </w:rPr>
            </w:pPr>
            <w:r w:rsidRPr="008F6073">
              <w:rPr>
                <w:lang w:eastAsia="en-GB"/>
              </w:rPr>
              <w:t xml:space="preserve">a subsequent diagnosis of hypoparathyroidism </w:t>
            </w:r>
            <w:r w:rsidR="00D966E6">
              <w:rPr>
                <w:lang w:eastAsia="en-GB"/>
              </w:rPr>
              <w:t>(Table 1)</w:t>
            </w:r>
            <w:r w:rsidRPr="008F6073">
              <w:rPr>
                <w:lang w:eastAsia="en-GB"/>
              </w:rPr>
              <w:t>, a hypoparathyroidism predictive diagnosis</w:t>
            </w:r>
            <w:r w:rsidR="00D966E6">
              <w:rPr>
                <w:lang w:eastAsia="en-GB"/>
              </w:rPr>
              <w:t xml:space="preserve"> (Table 3) </w:t>
            </w:r>
            <w:r w:rsidRPr="008F6073">
              <w:rPr>
                <w:lang w:eastAsia="en-GB"/>
              </w:rPr>
              <w:t>or a hypoparathyroidism complication ICD-10 diagnosis</w:t>
            </w:r>
            <w:r w:rsidR="00D966E6">
              <w:rPr>
                <w:lang w:eastAsia="en-GB"/>
              </w:rPr>
              <w:t xml:space="preserve"> (Table 5)</w:t>
            </w:r>
            <w:r w:rsidRPr="008F6073">
              <w:rPr>
                <w:lang w:eastAsia="en-GB"/>
              </w:rPr>
              <w:t xml:space="preserve"> in the six months to 24 months from first evidence of </w:t>
            </w:r>
            <w:proofErr w:type="gramStart"/>
            <w:r w:rsidRPr="008F6073">
              <w:rPr>
                <w:lang w:eastAsia="en-GB"/>
              </w:rPr>
              <w:t>hypoparathyroidism</w:t>
            </w:r>
            <w:r w:rsidR="00DC572B">
              <w:rPr>
                <w:lang w:eastAsia="en-GB"/>
              </w:rPr>
              <w:t>;</w:t>
            </w:r>
            <w:proofErr w:type="gramEnd"/>
          </w:p>
          <w:p w14:paraId="4B396800" w14:textId="6D3BCC3E" w:rsidR="008F6073" w:rsidRPr="008F6073" w:rsidRDefault="008F6073" w:rsidP="009E5DB6">
            <w:pPr>
              <w:pStyle w:val="BodyText"/>
              <w:numPr>
                <w:ilvl w:val="0"/>
                <w:numId w:val="23"/>
              </w:numPr>
              <w:rPr>
                <w:lang w:eastAsia="en-GB"/>
              </w:rPr>
            </w:pPr>
            <w:r w:rsidRPr="008F6073">
              <w:rPr>
                <w:lang w:eastAsia="en-GB"/>
              </w:rPr>
              <w:t>the incident chronic hypoparathyroidism index date will be the first date of this diagnosis of hypoparathyroidism, subject to a 12 month look back period where a diagnosis of hypoparathyroidism cannot occur</w:t>
            </w:r>
            <w:r w:rsidR="00D966E6">
              <w:rPr>
                <w:lang w:eastAsia="en-GB"/>
              </w:rPr>
              <w:t xml:space="preserve"> (Table 1)</w:t>
            </w:r>
            <w:r w:rsidR="00DC572B">
              <w:rPr>
                <w:lang w:eastAsia="en-GB"/>
              </w:rPr>
              <w:t>.</w:t>
            </w:r>
          </w:p>
          <w:p w14:paraId="7457976C" w14:textId="07A9FE72" w:rsidR="008F6073" w:rsidRPr="008F6073" w:rsidRDefault="008F6073" w:rsidP="009E5DB6">
            <w:pPr>
              <w:pStyle w:val="BodyText"/>
              <w:numPr>
                <w:ilvl w:val="0"/>
                <w:numId w:val="12"/>
              </w:numPr>
              <w:rPr>
                <w:lang w:eastAsia="en-GB"/>
              </w:rPr>
            </w:pPr>
            <w:r w:rsidRPr="008F6073">
              <w:rPr>
                <w:lang w:eastAsia="en-GB"/>
              </w:rPr>
              <w:t>For those patients who:</w:t>
            </w:r>
          </w:p>
          <w:p w14:paraId="5F58F8C1" w14:textId="7BACE43C" w:rsidR="008F6073" w:rsidRPr="008F6073" w:rsidRDefault="008F6073" w:rsidP="009E5DB6">
            <w:pPr>
              <w:pStyle w:val="BodyText"/>
              <w:numPr>
                <w:ilvl w:val="1"/>
                <w:numId w:val="12"/>
              </w:numPr>
              <w:ind w:left="720"/>
              <w:rPr>
                <w:lang w:eastAsia="en-GB"/>
              </w:rPr>
            </w:pPr>
            <w:r w:rsidRPr="008F6073">
              <w:rPr>
                <w:lang w:eastAsia="en-GB"/>
              </w:rPr>
              <w:t>do not have a diagnosis of hypoparathyroidism (</w:t>
            </w:r>
            <w:r w:rsidR="00D966E6">
              <w:rPr>
                <w:lang w:eastAsia="en-GB"/>
              </w:rPr>
              <w:t>Table 1</w:t>
            </w:r>
            <w:r w:rsidRPr="008F6073">
              <w:rPr>
                <w:lang w:eastAsia="en-GB"/>
              </w:rPr>
              <w:t>) between 1 January 2007 and 31 December 2010</w:t>
            </w:r>
            <w:r w:rsidR="00DC572B">
              <w:rPr>
                <w:lang w:eastAsia="en-GB"/>
              </w:rPr>
              <w:t xml:space="preserve">, </w:t>
            </w:r>
            <w:r w:rsidR="00DC572B" w:rsidRPr="00DC572B">
              <w:rPr>
                <w:b/>
                <w:bCs/>
                <w:lang w:eastAsia="en-GB"/>
              </w:rPr>
              <w:t>AND</w:t>
            </w:r>
          </w:p>
          <w:p w14:paraId="734BDAF4" w14:textId="6CA4B50E" w:rsidR="008F6073" w:rsidRPr="008F6073" w:rsidRDefault="008F6073" w:rsidP="009E5DB6">
            <w:pPr>
              <w:pStyle w:val="BodyText"/>
              <w:numPr>
                <w:ilvl w:val="1"/>
                <w:numId w:val="12"/>
              </w:numPr>
              <w:ind w:left="720"/>
              <w:rPr>
                <w:lang w:eastAsia="en-GB"/>
              </w:rPr>
            </w:pPr>
            <w:r w:rsidRPr="008F6073">
              <w:rPr>
                <w:lang w:eastAsia="en-GB"/>
              </w:rPr>
              <w:t>have a reported disorder of calcium metabolism (ICD 10 code: E83.5) in the 12 months following any hypoparathyroidism predictive procedure (</w:t>
            </w:r>
            <w:r w:rsidR="00D966E6">
              <w:rPr>
                <w:lang w:eastAsia="en-GB"/>
              </w:rPr>
              <w:t>Table 2</w:t>
            </w:r>
            <w:r w:rsidRPr="008F6073">
              <w:rPr>
                <w:lang w:eastAsia="en-GB"/>
              </w:rPr>
              <w:fldChar w:fldCharType="begin"/>
            </w:r>
            <w:r w:rsidRPr="008F6073">
              <w:rPr>
                <w:lang w:eastAsia="en-GB"/>
              </w:rPr>
              <w:instrText xml:space="preserve"> REF _Ref483323740 \h  \* MERGEFORMAT </w:instrText>
            </w:r>
            <w:r w:rsidRPr="008F6073">
              <w:rPr>
                <w:lang w:eastAsia="en-GB"/>
              </w:rPr>
            </w:r>
            <w:r w:rsidRPr="008F6073">
              <w:rPr>
                <w:lang w:eastAsia="en-GB"/>
              </w:rPr>
              <w:fldChar w:fldCharType="end"/>
            </w:r>
            <w:r w:rsidRPr="008F6073">
              <w:rPr>
                <w:lang w:eastAsia="en-GB"/>
              </w:rPr>
              <w:t>), where both occur between 1 January 2008 and 31 December 2010</w:t>
            </w:r>
            <w:r w:rsidR="00DC572B">
              <w:rPr>
                <w:lang w:eastAsia="en-GB"/>
              </w:rPr>
              <w:t xml:space="preserve">, </w:t>
            </w:r>
            <w:r w:rsidR="00DC572B" w:rsidRPr="00DC572B">
              <w:rPr>
                <w:b/>
                <w:bCs/>
                <w:lang w:eastAsia="en-GB"/>
              </w:rPr>
              <w:t>AND</w:t>
            </w:r>
          </w:p>
          <w:p w14:paraId="401BB07C" w14:textId="65BDDF02" w:rsidR="008F6073" w:rsidRPr="008F6073" w:rsidRDefault="008F6073" w:rsidP="009E5DB6">
            <w:pPr>
              <w:pStyle w:val="BodyText"/>
              <w:numPr>
                <w:ilvl w:val="1"/>
                <w:numId w:val="12"/>
              </w:numPr>
              <w:ind w:left="720"/>
              <w:rPr>
                <w:lang w:eastAsia="en-GB"/>
              </w:rPr>
            </w:pPr>
            <w:r w:rsidRPr="008F6073">
              <w:rPr>
                <w:lang w:eastAsia="en-GB"/>
              </w:rPr>
              <w:t>have a diagnosis of hypoparathyroidism (</w:t>
            </w:r>
            <w:r w:rsidR="00D966E6">
              <w:rPr>
                <w:lang w:eastAsia="en-GB"/>
              </w:rPr>
              <w:t>Table 1</w:t>
            </w:r>
            <w:r w:rsidRPr="008F6073">
              <w:rPr>
                <w:lang w:eastAsia="en-GB"/>
              </w:rPr>
              <w:fldChar w:fldCharType="begin"/>
            </w:r>
            <w:r w:rsidRPr="008F6073">
              <w:rPr>
                <w:lang w:eastAsia="en-GB"/>
              </w:rPr>
              <w:instrText xml:space="preserve"> REF _Ref483321428 \h  \* MERGEFORMAT </w:instrText>
            </w:r>
            <w:r w:rsidRPr="008F6073">
              <w:rPr>
                <w:lang w:eastAsia="en-GB"/>
              </w:rPr>
            </w:r>
            <w:r w:rsidRPr="008F6073">
              <w:rPr>
                <w:lang w:eastAsia="en-GB"/>
              </w:rPr>
              <w:fldChar w:fldCharType="end"/>
            </w:r>
            <w:r w:rsidRPr="008F6073">
              <w:rPr>
                <w:lang w:eastAsia="en-GB"/>
              </w:rPr>
              <w:t>), a hypoparathyroidism predictive diagnosis (</w:t>
            </w:r>
            <w:r w:rsidR="00D966E6">
              <w:rPr>
                <w:lang w:eastAsia="en-GB"/>
              </w:rPr>
              <w:t>Table 3</w:t>
            </w:r>
            <w:r w:rsidRPr="008F6073">
              <w:rPr>
                <w:lang w:eastAsia="en-GB"/>
              </w:rPr>
              <w:fldChar w:fldCharType="begin"/>
            </w:r>
            <w:r w:rsidRPr="008F6073">
              <w:rPr>
                <w:lang w:eastAsia="en-GB"/>
              </w:rPr>
              <w:instrText xml:space="preserve"> REF _Ref483481670 \h  \* MERGEFORMAT </w:instrText>
            </w:r>
            <w:r w:rsidRPr="008F6073">
              <w:rPr>
                <w:lang w:eastAsia="en-GB"/>
              </w:rPr>
            </w:r>
            <w:r w:rsidRPr="008F6073">
              <w:rPr>
                <w:lang w:eastAsia="en-GB"/>
              </w:rPr>
              <w:fldChar w:fldCharType="end"/>
            </w:r>
            <w:r w:rsidRPr="008F6073">
              <w:rPr>
                <w:lang w:eastAsia="en-GB"/>
              </w:rPr>
              <w:t>) or a hypoparathyroidism complication ICD-10 diagnosis</w:t>
            </w:r>
            <w:r w:rsidR="00D966E6">
              <w:rPr>
                <w:lang w:eastAsia="en-GB"/>
              </w:rPr>
              <w:t xml:space="preserve"> (Table 5</w:t>
            </w:r>
            <w:r w:rsidRPr="008F6073">
              <w:rPr>
                <w:lang w:eastAsia="en-GB"/>
              </w:rPr>
              <w:t xml:space="preserve">) in the six months to 24 months from first evidence of </w:t>
            </w:r>
            <w:proofErr w:type="gramStart"/>
            <w:r w:rsidRPr="008F6073">
              <w:rPr>
                <w:lang w:eastAsia="en-GB"/>
              </w:rPr>
              <w:t>hypoparathyroidism</w:t>
            </w:r>
            <w:r w:rsidR="00DC572B">
              <w:rPr>
                <w:lang w:eastAsia="en-GB"/>
              </w:rPr>
              <w:t>;</w:t>
            </w:r>
            <w:proofErr w:type="gramEnd"/>
          </w:p>
          <w:p w14:paraId="014E69FB" w14:textId="58DED0D0" w:rsidR="008F6073" w:rsidRPr="008F6073" w:rsidRDefault="008F6073" w:rsidP="009E5DB6">
            <w:pPr>
              <w:pStyle w:val="BodyText"/>
              <w:numPr>
                <w:ilvl w:val="0"/>
                <w:numId w:val="22"/>
              </w:numPr>
              <w:rPr>
                <w:lang w:eastAsia="en-GB"/>
              </w:rPr>
            </w:pPr>
            <w:r w:rsidRPr="008F6073">
              <w:rPr>
                <w:lang w:eastAsia="en-GB"/>
              </w:rPr>
              <w:t>the incident chronic hypoparathyroidism index date will be defined as the date of disorder of calcium metabolism, subject to a 12 month look back period (from the hypoparathyroidism predictive procedure date) where neither a hypoparathyroidism predictive procedure (</w:t>
            </w:r>
            <w:r w:rsidR="00D966E6">
              <w:rPr>
                <w:lang w:eastAsia="en-GB"/>
              </w:rPr>
              <w:t>Table 2</w:t>
            </w:r>
            <w:r w:rsidRPr="008F6073">
              <w:rPr>
                <w:lang w:eastAsia="en-GB"/>
              </w:rPr>
              <w:fldChar w:fldCharType="begin"/>
            </w:r>
            <w:r w:rsidRPr="008F6073">
              <w:rPr>
                <w:lang w:eastAsia="en-GB"/>
              </w:rPr>
              <w:instrText xml:space="preserve"> REF _Ref483323740 \h  \* MERGEFORMAT </w:instrText>
            </w:r>
            <w:r w:rsidRPr="008F6073">
              <w:rPr>
                <w:lang w:eastAsia="en-GB"/>
              </w:rPr>
            </w:r>
            <w:r w:rsidRPr="008F6073">
              <w:rPr>
                <w:lang w:eastAsia="en-GB"/>
              </w:rPr>
              <w:fldChar w:fldCharType="end"/>
            </w:r>
            <w:r w:rsidRPr="008F6073">
              <w:rPr>
                <w:lang w:eastAsia="en-GB"/>
              </w:rPr>
              <w:t>) nor a disorder of calcium metabolism can occur</w:t>
            </w:r>
            <w:r w:rsidR="00DC572B">
              <w:rPr>
                <w:lang w:eastAsia="en-GB"/>
              </w:rPr>
              <w:t>.</w:t>
            </w:r>
          </w:p>
          <w:p w14:paraId="384468FF" w14:textId="77777777" w:rsidR="008F6073" w:rsidRPr="008F6073" w:rsidRDefault="008F6073" w:rsidP="009E5DB6">
            <w:pPr>
              <w:pStyle w:val="BodyText"/>
              <w:numPr>
                <w:ilvl w:val="0"/>
                <w:numId w:val="12"/>
              </w:numPr>
              <w:rPr>
                <w:lang w:eastAsia="en-GB"/>
              </w:rPr>
            </w:pPr>
            <w:r w:rsidRPr="008F6073">
              <w:rPr>
                <w:lang w:eastAsia="en-GB"/>
              </w:rPr>
              <w:t>For those patients who:</w:t>
            </w:r>
          </w:p>
          <w:p w14:paraId="337CDBED" w14:textId="4FD5C06E" w:rsidR="008F6073" w:rsidRPr="008F6073" w:rsidRDefault="008F6073" w:rsidP="009E5DB6">
            <w:pPr>
              <w:pStyle w:val="BodyText"/>
              <w:numPr>
                <w:ilvl w:val="1"/>
                <w:numId w:val="12"/>
              </w:numPr>
              <w:ind w:left="688"/>
              <w:rPr>
                <w:lang w:eastAsia="en-GB"/>
              </w:rPr>
            </w:pPr>
            <w:r w:rsidRPr="008F6073">
              <w:rPr>
                <w:lang w:eastAsia="en-GB"/>
              </w:rPr>
              <w:t>do not have a diagnosis of hypoparathyroidism (</w:t>
            </w:r>
            <w:r w:rsidR="00D966E6">
              <w:rPr>
                <w:lang w:eastAsia="en-GB"/>
              </w:rPr>
              <w:t>Table 1</w:t>
            </w:r>
            <w:r w:rsidRPr="008F6073">
              <w:rPr>
                <w:lang w:eastAsia="en-GB"/>
              </w:rPr>
              <w:t>) between 1 January 2007 and 31 December 2010</w:t>
            </w:r>
            <w:r w:rsidR="00DC572B">
              <w:rPr>
                <w:lang w:eastAsia="en-GB"/>
              </w:rPr>
              <w:t xml:space="preserve">, </w:t>
            </w:r>
            <w:r w:rsidR="00DC572B" w:rsidRPr="00DC572B">
              <w:rPr>
                <w:b/>
                <w:bCs/>
                <w:lang w:eastAsia="en-GB"/>
              </w:rPr>
              <w:t>AND</w:t>
            </w:r>
            <w:r w:rsidRPr="008F6073">
              <w:rPr>
                <w:lang w:eastAsia="en-GB"/>
              </w:rPr>
              <w:t xml:space="preserve">  </w:t>
            </w:r>
          </w:p>
          <w:p w14:paraId="580DD782" w14:textId="235030ED" w:rsidR="008F6073" w:rsidRPr="008F6073" w:rsidRDefault="008F6073" w:rsidP="009E5DB6">
            <w:pPr>
              <w:pStyle w:val="BodyText"/>
              <w:numPr>
                <w:ilvl w:val="1"/>
                <w:numId w:val="12"/>
              </w:numPr>
              <w:ind w:left="688"/>
              <w:rPr>
                <w:lang w:eastAsia="en-GB"/>
              </w:rPr>
            </w:pPr>
            <w:r w:rsidRPr="008F6073">
              <w:rPr>
                <w:lang w:eastAsia="en-GB"/>
              </w:rPr>
              <w:t xml:space="preserve">do not have a hypoparathyroidism predictive procedure </w:t>
            </w:r>
            <w:r w:rsidR="00D966E6">
              <w:rPr>
                <w:lang w:eastAsia="en-GB"/>
              </w:rPr>
              <w:t>(Table 2)</w:t>
            </w:r>
            <w:r w:rsidRPr="008F6073">
              <w:rPr>
                <w:lang w:eastAsia="en-GB"/>
              </w:rPr>
              <w:t xml:space="preserve"> between 1 January 2007 and 31 December 2010</w:t>
            </w:r>
            <w:r w:rsidR="00DC572B">
              <w:rPr>
                <w:lang w:eastAsia="en-GB"/>
              </w:rPr>
              <w:t xml:space="preserve">, </w:t>
            </w:r>
            <w:r w:rsidR="00DC572B" w:rsidRPr="00DC572B">
              <w:rPr>
                <w:b/>
                <w:bCs/>
                <w:lang w:eastAsia="en-GB"/>
              </w:rPr>
              <w:t>AND</w:t>
            </w:r>
          </w:p>
          <w:p w14:paraId="261169D9" w14:textId="4C4748BA" w:rsidR="008F6073" w:rsidRPr="008F6073" w:rsidRDefault="008F6073" w:rsidP="009E5DB6">
            <w:pPr>
              <w:pStyle w:val="BodyText"/>
              <w:numPr>
                <w:ilvl w:val="1"/>
                <w:numId w:val="12"/>
              </w:numPr>
              <w:ind w:left="688"/>
              <w:rPr>
                <w:lang w:eastAsia="en-GB"/>
              </w:rPr>
            </w:pPr>
            <w:r w:rsidRPr="008F6073">
              <w:rPr>
                <w:lang w:eastAsia="en-GB"/>
              </w:rPr>
              <w:t xml:space="preserve">have a reported disorder of calcium metabolism (ICD 10 code: E83.5) 12 months prior to or following a hypoparathyroidism predictive diagnosis </w:t>
            </w:r>
            <w:r w:rsidR="00541A41">
              <w:rPr>
                <w:lang w:eastAsia="en-GB"/>
              </w:rPr>
              <w:t>(Table 3</w:t>
            </w:r>
            <w:r w:rsidRPr="008F6073">
              <w:rPr>
                <w:lang w:eastAsia="en-GB"/>
              </w:rPr>
              <w:t>), where both occur between 1 January 2008 and 31 December 2010</w:t>
            </w:r>
            <w:r w:rsidR="00DC572B">
              <w:rPr>
                <w:lang w:eastAsia="en-GB"/>
              </w:rPr>
              <w:t xml:space="preserve">, </w:t>
            </w:r>
            <w:r w:rsidR="00DC572B" w:rsidRPr="00DC572B">
              <w:rPr>
                <w:b/>
                <w:bCs/>
                <w:lang w:eastAsia="en-GB"/>
              </w:rPr>
              <w:t>AND</w:t>
            </w:r>
          </w:p>
          <w:p w14:paraId="05167896" w14:textId="7B8FA89C" w:rsidR="008F6073" w:rsidRPr="008F6073" w:rsidRDefault="008F6073" w:rsidP="009E5DB6">
            <w:pPr>
              <w:pStyle w:val="BodyText"/>
              <w:numPr>
                <w:ilvl w:val="1"/>
                <w:numId w:val="12"/>
              </w:numPr>
              <w:ind w:left="688"/>
              <w:rPr>
                <w:lang w:eastAsia="en-GB"/>
              </w:rPr>
            </w:pPr>
            <w:r w:rsidRPr="008F6073">
              <w:rPr>
                <w:lang w:eastAsia="en-GB"/>
              </w:rPr>
              <w:t>have a diagnosis of hypoparathyroidism</w:t>
            </w:r>
            <w:r w:rsidR="00541A41">
              <w:rPr>
                <w:lang w:eastAsia="en-GB"/>
              </w:rPr>
              <w:t xml:space="preserve"> (Table 1</w:t>
            </w:r>
            <w:r w:rsidRPr="008F6073">
              <w:rPr>
                <w:lang w:eastAsia="en-GB"/>
              </w:rPr>
              <w:t xml:space="preserve">), a hypoparathyroidism predictive diagnosis </w:t>
            </w:r>
            <w:r w:rsidR="00541A41">
              <w:rPr>
                <w:lang w:eastAsia="en-GB"/>
              </w:rPr>
              <w:t>(Table 3)</w:t>
            </w:r>
            <w:r w:rsidRPr="008F6073">
              <w:rPr>
                <w:lang w:eastAsia="en-GB"/>
              </w:rPr>
              <w:t xml:space="preserve"> or a hypoparathyroidism complication ICD-10 diagnosis (</w:t>
            </w:r>
            <w:r w:rsidR="00541A41">
              <w:rPr>
                <w:lang w:eastAsia="en-GB"/>
              </w:rPr>
              <w:t xml:space="preserve">Table 5) </w:t>
            </w:r>
            <w:r w:rsidRPr="008F6073">
              <w:rPr>
                <w:lang w:eastAsia="en-GB"/>
              </w:rPr>
              <w:t xml:space="preserve">in the six months to 24 months from first evidence of </w:t>
            </w:r>
            <w:proofErr w:type="gramStart"/>
            <w:r w:rsidRPr="008F6073">
              <w:rPr>
                <w:lang w:eastAsia="en-GB"/>
              </w:rPr>
              <w:t>hypoparathyroidism</w:t>
            </w:r>
            <w:r w:rsidR="00DC572B">
              <w:rPr>
                <w:lang w:eastAsia="en-GB"/>
              </w:rPr>
              <w:t>;</w:t>
            </w:r>
            <w:proofErr w:type="gramEnd"/>
          </w:p>
          <w:p w14:paraId="4A1CC24C" w14:textId="254D0750" w:rsidR="008F6073" w:rsidRPr="008F6073" w:rsidRDefault="008F6073" w:rsidP="009E5DB6">
            <w:pPr>
              <w:pStyle w:val="BodyText"/>
              <w:numPr>
                <w:ilvl w:val="0"/>
                <w:numId w:val="24"/>
              </w:numPr>
              <w:rPr>
                <w:lang w:eastAsia="en-GB"/>
              </w:rPr>
            </w:pPr>
            <w:r w:rsidRPr="008F6073">
              <w:rPr>
                <w:lang w:eastAsia="en-GB"/>
              </w:rPr>
              <w:t xml:space="preserve">the incident chronic hypoparathyroidism index date will be defined as the date of disorder of calcium metabolism, subject to a 12 month look back period (from the earliest of date of hypoparathyroidism predictive diagnosis and date of disorder of calcium metabolism) where a neither a hypoparathyroidism predictive diagnosis </w:t>
            </w:r>
            <w:r w:rsidR="00541A41">
              <w:rPr>
                <w:lang w:eastAsia="en-GB"/>
              </w:rPr>
              <w:t xml:space="preserve">(Table 3) </w:t>
            </w:r>
            <w:r w:rsidRPr="008F6073">
              <w:rPr>
                <w:lang w:eastAsia="en-GB"/>
              </w:rPr>
              <w:fldChar w:fldCharType="begin"/>
            </w:r>
            <w:r w:rsidRPr="008F6073">
              <w:rPr>
                <w:lang w:eastAsia="en-GB"/>
              </w:rPr>
              <w:instrText xml:space="preserve"> REF _Ref483481670 \h  \* MERGEFORMAT </w:instrText>
            </w:r>
            <w:r w:rsidRPr="008F6073">
              <w:rPr>
                <w:lang w:eastAsia="en-GB"/>
              </w:rPr>
            </w:r>
            <w:r w:rsidRPr="008F6073">
              <w:rPr>
                <w:lang w:eastAsia="en-GB"/>
              </w:rPr>
              <w:fldChar w:fldCharType="end"/>
            </w:r>
            <w:r w:rsidRPr="008F6073">
              <w:rPr>
                <w:lang w:eastAsia="en-GB"/>
              </w:rPr>
              <w:t xml:space="preserve">nor a disorder of calcium metabolism can occur. Where disorder of calcium metabolisms </w:t>
            </w:r>
            <w:proofErr w:type="gramStart"/>
            <w:r w:rsidRPr="008F6073">
              <w:rPr>
                <w:lang w:eastAsia="en-GB"/>
              </w:rPr>
              <w:t>occur</w:t>
            </w:r>
            <w:proofErr w:type="gramEnd"/>
            <w:r w:rsidRPr="008F6073">
              <w:rPr>
                <w:lang w:eastAsia="en-GB"/>
              </w:rPr>
              <w:t xml:space="preserve"> both before and after a hypoparathyroidism predictive diagnosis (and are within 12 months of the date of hypoparathyroidism predictive) the earliest disorder of calcium metabolism should be selected as the index date. </w:t>
            </w:r>
          </w:p>
          <w:p w14:paraId="4B436837" w14:textId="77777777" w:rsidR="00444D0D" w:rsidRDefault="00444D0D" w:rsidP="00DC572B">
            <w:pPr>
              <w:pStyle w:val="BodyText"/>
              <w:rPr>
                <w:b/>
                <w:bCs/>
                <w:u w:val="single"/>
                <w:lang w:eastAsia="en-GB"/>
              </w:rPr>
            </w:pPr>
          </w:p>
          <w:p w14:paraId="016BF3D8" w14:textId="12B9125D" w:rsidR="008F6073" w:rsidRPr="00444D0D" w:rsidRDefault="008F6073" w:rsidP="00DC572B">
            <w:pPr>
              <w:pStyle w:val="BodyText"/>
              <w:rPr>
                <w:u w:val="single"/>
                <w:lang w:eastAsia="en-GB"/>
              </w:rPr>
            </w:pPr>
            <w:r>
              <w:rPr>
                <w:u w:val="single"/>
                <w:lang w:eastAsia="en-GB"/>
              </w:rPr>
              <w:t>I</w:t>
            </w:r>
            <w:r w:rsidRPr="00444D0D">
              <w:rPr>
                <w:u w:val="single"/>
                <w:lang w:eastAsia="en-GB"/>
              </w:rPr>
              <w:t>ndex date for</w:t>
            </w:r>
            <w:r>
              <w:rPr>
                <w:u w:val="single"/>
                <w:lang w:eastAsia="en-GB"/>
              </w:rPr>
              <w:t xml:space="preserve"> Prevalent Chronic Hypoparathyroidism:</w:t>
            </w:r>
            <w:r w:rsidRPr="00444D0D">
              <w:rPr>
                <w:u w:val="single"/>
                <w:lang w:eastAsia="en-GB"/>
              </w:rPr>
              <w:t xml:space="preserve"> </w:t>
            </w:r>
          </w:p>
          <w:p w14:paraId="3180A6A5" w14:textId="77777777" w:rsidR="008F6073" w:rsidRDefault="008F6073" w:rsidP="009E5DB6">
            <w:pPr>
              <w:pStyle w:val="BodyText"/>
              <w:numPr>
                <w:ilvl w:val="0"/>
                <w:numId w:val="13"/>
              </w:numPr>
              <w:rPr>
                <w:lang w:eastAsia="en-GB"/>
              </w:rPr>
            </w:pPr>
            <w:r>
              <w:rPr>
                <w:lang w:eastAsia="en-GB"/>
              </w:rPr>
              <w:t>For patients who:</w:t>
            </w:r>
          </w:p>
          <w:p w14:paraId="2F85D2CC" w14:textId="1B1D2006" w:rsidR="008F6073" w:rsidRPr="00915AB3" w:rsidRDefault="008F6073" w:rsidP="009E5DB6">
            <w:pPr>
              <w:pStyle w:val="BodyText"/>
              <w:numPr>
                <w:ilvl w:val="1"/>
                <w:numId w:val="13"/>
              </w:numPr>
              <w:ind w:left="688"/>
              <w:rPr>
                <w:lang w:eastAsia="en-GB"/>
              </w:rPr>
            </w:pPr>
            <w:r>
              <w:rPr>
                <w:lang w:eastAsia="en-GB"/>
              </w:rPr>
              <w:t>have a diagnosis of h</w:t>
            </w:r>
            <w:r w:rsidRPr="00C329C4">
              <w:rPr>
                <w:lang w:eastAsia="en-GB"/>
              </w:rPr>
              <w:t>ypoparathyroidism</w:t>
            </w:r>
            <w:r>
              <w:rPr>
                <w:lang w:eastAsia="en-GB"/>
              </w:rPr>
              <w:t xml:space="preserve"> (</w:t>
            </w:r>
            <w:r w:rsidR="00541A41">
              <w:rPr>
                <w:lang w:eastAsia="en-GB"/>
              </w:rPr>
              <w:t>Table 1</w:t>
            </w:r>
            <w:r>
              <w:rPr>
                <w:lang w:eastAsia="en-GB"/>
              </w:rPr>
              <w:fldChar w:fldCharType="begin"/>
            </w:r>
            <w:r>
              <w:rPr>
                <w:lang w:eastAsia="en-GB"/>
              </w:rPr>
              <w:instrText xml:space="preserve"> REF _Ref483321428 \h </w:instrText>
            </w:r>
            <w:r w:rsidR="00DC572B">
              <w:rPr>
                <w:lang w:eastAsia="en-GB"/>
              </w:rPr>
              <w:instrText xml:space="preserve"> \* MERGEFORMAT </w:instrText>
            </w:r>
            <w:r>
              <w:rPr>
                <w:lang w:eastAsia="en-GB"/>
              </w:rPr>
            </w:r>
            <w:r>
              <w:rPr>
                <w:lang w:eastAsia="en-GB"/>
              </w:rPr>
              <w:fldChar w:fldCharType="end"/>
            </w:r>
            <w:r>
              <w:rPr>
                <w:lang w:eastAsia="en-GB"/>
              </w:rPr>
              <w:t xml:space="preserve">), where it occurs between 1 January 2008 and 31 December 2010, </w:t>
            </w:r>
            <w:r w:rsidR="00DC572B" w:rsidRPr="00DC572B">
              <w:rPr>
                <w:b/>
                <w:bCs/>
                <w:lang w:eastAsia="en-GB"/>
              </w:rPr>
              <w:t>AND</w:t>
            </w:r>
            <w:r>
              <w:rPr>
                <w:b/>
                <w:lang w:eastAsia="en-GB"/>
              </w:rPr>
              <w:t xml:space="preserve"> </w:t>
            </w:r>
          </w:p>
          <w:p w14:paraId="3BF4A132" w14:textId="4762554E" w:rsidR="008F6073" w:rsidRDefault="008F6073" w:rsidP="009E5DB6">
            <w:pPr>
              <w:pStyle w:val="BodyText"/>
              <w:numPr>
                <w:ilvl w:val="1"/>
                <w:numId w:val="13"/>
              </w:numPr>
              <w:ind w:left="688"/>
              <w:rPr>
                <w:lang w:eastAsia="en-GB"/>
              </w:rPr>
            </w:pPr>
            <w:r>
              <w:rPr>
                <w:lang w:eastAsia="en-GB"/>
              </w:rPr>
              <w:lastRenderedPageBreak/>
              <w:t>a subsequent d</w:t>
            </w:r>
            <w:r w:rsidRPr="007C2CC8">
              <w:rPr>
                <w:lang w:eastAsia="en-GB"/>
              </w:rPr>
              <w:t>iagnosis of hypoparathyroidism</w:t>
            </w:r>
            <w:r>
              <w:rPr>
                <w:lang w:eastAsia="en-GB"/>
              </w:rPr>
              <w:t xml:space="preserve"> (</w:t>
            </w:r>
            <w:r w:rsidR="00541A41">
              <w:rPr>
                <w:lang w:eastAsia="en-GB"/>
              </w:rPr>
              <w:t>Table 1</w:t>
            </w:r>
            <w:r>
              <w:rPr>
                <w:lang w:eastAsia="en-GB"/>
              </w:rPr>
              <w:fldChar w:fldCharType="begin"/>
            </w:r>
            <w:r>
              <w:rPr>
                <w:lang w:eastAsia="en-GB"/>
              </w:rPr>
              <w:instrText xml:space="preserve"> REF _Ref483321428 \h </w:instrText>
            </w:r>
            <w:r w:rsidR="00DC572B">
              <w:rPr>
                <w:lang w:eastAsia="en-GB"/>
              </w:rPr>
              <w:instrText xml:space="preserve"> \* MERGEFORMAT </w:instrText>
            </w:r>
            <w:r>
              <w:rPr>
                <w:lang w:eastAsia="en-GB"/>
              </w:rPr>
            </w:r>
            <w:r>
              <w:rPr>
                <w:lang w:eastAsia="en-GB"/>
              </w:rPr>
              <w:fldChar w:fldCharType="end"/>
            </w:r>
            <w:r>
              <w:rPr>
                <w:lang w:eastAsia="en-GB"/>
              </w:rPr>
              <w:t xml:space="preserve">), </w:t>
            </w:r>
            <w:r w:rsidRPr="007C2CC8">
              <w:rPr>
                <w:lang w:eastAsia="en-GB"/>
              </w:rPr>
              <w:t>a hypopara</w:t>
            </w:r>
            <w:r>
              <w:rPr>
                <w:lang w:eastAsia="en-GB"/>
              </w:rPr>
              <w:t>thyroidism predictive diagnosis (</w:t>
            </w:r>
            <w:r w:rsidR="00541A41">
              <w:rPr>
                <w:lang w:eastAsia="en-GB"/>
              </w:rPr>
              <w:t>Table 3</w:t>
            </w:r>
            <w:r>
              <w:rPr>
                <w:lang w:eastAsia="en-GB"/>
              </w:rPr>
              <w:fldChar w:fldCharType="begin"/>
            </w:r>
            <w:r>
              <w:rPr>
                <w:lang w:eastAsia="en-GB"/>
              </w:rPr>
              <w:instrText xml:space="preserve"> REF _Ref483481670 \h </w:instrText>
            </w:r>
            <w:r w:rsidR="00DC572B">
              <w:rPr>
                <w:lang w:eastAsia="en-GB"/>
              </w:rPr>
              <w:instrText xml:space="preserve"> \* MERGEFORMAT </w:instrText>
            </w:r>
            <w:r>
              <w:rPr>
                <w:lang w:eastAsia="en-GB"/>
              </w:rPr>
            </w:r>
            <w:r>
              <w:rPr>
                <w:lang w:eastAsia="en-GB"/>
              </w:rPr>
              <w:fldChar w:fldCharType="end"/>
            </w:r>
            <w:r>
              <w:rPr>
                <w:lang w:eastAsia="en-GB"/>
              </w:rPr>
              <w:t>) or a</w:t>
            </w:r>
            <w:r w:rsidRPr="00367E8F">
              <w:rPr>
                <w:lang w:eastAsia="en-GB"/>
              </w:rPr>
              <w:t xml:space="preserve"> </w:t>
            </w:r>
            <w:r w:rsidRPr="007C2CC8">
              <w:rPr>
                <w:lang w:eastAsia="en-GB"/>
              </w:rPr>
              <w:t>hypopara</w:t>
            </w:r>
            <w:r>
              <w:rPr>
                <w:lang w:eastAsia="en-GB"/>
              </w:rPr>
              <w:t>thyroidism complication ICD-10 diagnosis (</w:t>
            </w:r>
            <w:r w:rsidR="00541A41">
              <w:rPr>
                <w:lang w:eastAsia="en-GB"/>
              </w:rPr>
              <w:t>Table 5</w:t>
            </w:r>
            <w:r>
              <w:rPr>
                <w:lang w:eastAsia="en-GB"/>
              </w:rPr>
              <w:t xml:space="preserve">) in the six months to 24 months from first evidence of </w:t>
            </w:r>
            <w:proofErr w:type="gramStart"/>
            <w:r>
              <w:rPr>
                <w:lang w:eastAsia="en-GB"/>
              </w:rPr>
              <w:t>h</w:t>
            </w:r>
            <w:r w:rsidRPr="00C329C4">
              <w:rPr>
                <w:lang w:eastAsia="en-GB"/>
              </w:rPr>
              <w:t>ypoparathyroidism</w:t>
            </w:r>
            <w:r w:rsidR="00DC572B">
              <w:rPr>
                <w:lang w:eastAsia="en-GB"/>
              </w:rPr>
              <w:t>;</w:t>
            </w:r>
            <w:proofErr w:type="gramEnd"/>
          </w:p>
          <w:p w14:paraId="32D8C0C6" w14:textId="265B7B70" w:rsidR="008F6073" w:rsidRDefault="008F6073" w:rsidP="009E5DB6">
            <w:pPr>
              <w:pStyle w:val="BodyText"/>
              <w:numPr>
                <w:ilvl w:val="0"/>
                <w:numId w:val="24"/>
              </w:numPr>
              <w:rPr>
                <w:lang w:eastAsia="en-GB"/>
              </w:rPr>
            </w:pPr>
            <w:r>
              <w:rPr>
                <w:lang w:eastAsia="en-GB"/>
              </w:rPr>
              <w:t>the prevalent chronic h</w:t>
            </w:r>
            <w:r w:rsidRPr="00C329C4">
              <w:rPr>
                <w:lang w:eastAsia="en-GB"/>
              </w:rPr>
              <w:t>ypoparathyroidism</w:t>
            </w:r>
            <w:r>
              <w:rPr>
                <w:lang w:eastAsia="en-GB"/>
              </w:rPr>
              <w:t xml:space="preserve"> index date will be the first date of this diagnosis of h</w:t>
            </w:r>
            <w:r w:rsidRPr="00C329C4">
              <w:rPr>
                <w:lang w:eastAsia="en-GB"/>
              </w:rPr>
              <w:t>ypoparathyroidism</w:t>
            </w:r>
            <w:r>
              <w:rPr>
                <w:lang w:eastAsia="en-GB"/>
              </w:rPr>
              <w:t>, subject to a 12 month look back period where a diagnosis of h</w:t>
            </w:r>
            <w:r w:rsidRPr="00C329C4">
              <w:rPr>
                <w:lang w:eastAsia="en-GB"/>
              </w:rPr>
              <w:t>ypoparathyroidism</w:t>
            </w:r>
            <w:r>
              <w:rPr>
                <w:lang w:eastAsia="en-GB"/>
              </w:rPr>
              <w:t xml:space="preserve"> must occur (</w:t>
            </w:r>
            <w:r w:rsidR="00541A41">
              <w:rPr>
                <w:lang w:eastAsia="en-GB"/>
              </w:rPr>
              <w:t>Table 1</w:t>
            </w:r>
            <w:r>
              <w:rPr>
                <w:lang w:eastAsia="en-GB"/>
              </w:rPr>
              <w:fldChar w:fldCharType="begin"/>
            </w:r>
            <w:r>
              <w:rPr>
                <w:lang w:eastAsia="en-GB"/>
              </w:rPr>
              <w:instrText xml:space="preserve"> REF _Ref483321428 \h </w:instrText>
            </w:r>
            <w:r w:rsidR="00DC572B">
              <w:rPr>
                <w:lang w:eastAsia="en-GB"/>
              </w:rPr>
              <w:instrText xml:space="preserve"> \* MERGEFORMAT </w:instrText>
            </w:r>
            <w:r>
              <w:rPr>
                <w:lang w:eastAsia="en-GB"/>
              </w:rPr>
            </w:r>
            <w:r>
              <w:rPr>
                <w:lang w:eastAsia="en-GB"/>
              </w:rPr>
              <w:fldChar w:fldCharType="end"/>
            </w:r>
            <w:r>
              <w:rPr>
                <w:lang w:eastAsia="en-GB"/>
              </w:rPr>
              <w:t>)</w:t>
            </w:r>
            <w:r w:rsidR="00DC572B">
              <w:rPr>
                <w:lang w:eastAsia="en-GB"/>
              </w:rPr>
              <w:t>.</w:t>
            </w:r>
          </w:p>
          <w:p w14:paraId="40683BF4" w14:textId="77777777" w:rsidR="008F6073" w:rsidRDefault="008F6073" w:rsidP="009E5DB6">
            <w:pPr>
              <w:pStyle w:val="BodyText"/>
              <w:numPr>
                <w:ilvl w:val="0"/>
                <w:numId w:val="13"/>
              </w:numPr>
              <w:rPr>
                <w:lang w:eastAsia="en-GB"/>
              </w:rPr>
            </w:pPr>
            <w:r>
              <w:rPr>
                <w:lang w:eastAsia="en-GB"/>
              </w:rPr>
              <w:t>For those patients who:</w:t>
            </w:r>
          </w:p>
          <w:p w14:paraId="79D0D92D" w14:textId="598896B4" w:rsidR="008F6073" w:rsidRDefault="008F6073" w:rsidP="009E5DB6">
            <w:pPr>
              <w:pStyle w:val="BodyText"/>
              <w:numPr>
                <w:ilvl w:val="1"/>
                <w:numId w:val="13"/>
              </w:numPr>
              <w:ind w:left="688"/>
              <w:rPr>
                <w:lang w:eastAsia="en-GB"/>
              </w:rPr>
            </w:pPr>
            <w:r>
              <w:rPr>
                <w:lang w:eastAsia="en-GB"/>
              </w:rPr>
              <w:t xml:space="preserve">do not have a </w:t>
            </w:r>
            <w:r w:rsidRPr="004713B6">
              <w:rPr>
                <w:lang w:eastAsia="en-GB"/>
              </w:rPr>
              <w:t>diagnosis of hypoparathyroidism</w:t>
            </w:r>
            <w:r>
              <w:rPr>
                <w:lang w:eastAsia="en-GB"/>
              </w:rPr>
              <w:t xml:space="preserve"> (</w:t>
            </w:r>
            <w:r w:rsidR="00541A41">
              <w:rPr>
                <w:lang w:eastAsia="en-GB"/>
              </w:rPr>
              <w:t>Table 1</w:t>
            </w:r>
            <w:r>
              <w:rPr>
                <w:lang w:eastAsia="en-GB"/>
              </w:rPr>
              <w:fldChar w:fldCharType="begin"/>
            </w:r>
            <w:r>
              <w:rPr>
                <w:lang w:eastAsia="en-GB"/>
              </w:rPr>
              <w:instrText xml:space="preserve"> REF _Ref483321428 \h </w:instrText>
            </w:r>
            <w:r w:rsidR="00DC572B">
              <w:rPr>
                <w:lang w:eastAsia="en-GB"/>
              </w:rPr>
              <w:instrText xml:space="preserve"> \* MERGEFORMAT </w:instrText>
            </w:r>
            <w:r>
              <w:rPr>
                <w:lang w:eastAsia="en-GB"/>
              </w:rPr>
            </w:r>
            <w:r>
              <w:rPr>
                <w:lang w:eastAsia="en-GB"/>
              </w:rPr>
              <w:fldChar w:fldCharType="end"/>
            </w:r>
            <w:r>
              <w:rPr>
                <w:lang w:eastAsia="en-GB"/>
              </w:rPr>
              <w:t>)</w:t>
            </w:r>
            <w:r w:rsidRPr="004713B6">
              <w:rPr>
                <w:lang w:eastAsia="en-GB"/>
              </w:rPr>
              <w:t xml:space="preserve"> </w:t>
            </w:r>
            <w:r>
              <w:rPr>
                <w:lang w:eastAsia="en-GB"/>
              </w:rPr>
              <w:t>between 1 January 2007 and 31 December 2010</w:t>
            </w:r>
            <w:r w:rsidR="00DC572B">
              <w:rPr>
                <w:lang w:eastAsia="en-GB"/>
              </w:rPr>
              <w:t xml:space="preserve">, </w:t>
            </w:r>
            <w:r w:rsidR="00DC572B" w:rsidRPr="00DC572B">
              <w:rPr>
                <w:b/>
                <w:bCs/>
                <w:lang w:eastAsia="en-GB"/>
              </w:rPr>
              <w:t>AND</w:t>
            </w:r>
          </w:p>
          <w:p w14:paraId="5C2895DF" w14:textId="5CEA583F" w:rsidR="008F6073" w:rsidRDefault="008F6073" w:rsidP="009E5DB6">
            <w:pPr>
              <w:pStyle w:val="BodyText"/>
              <w:numPr>
                <w:ilvl w:val="1"/>
                <w:numId w:val="13"/>
              </w:numPr>
              <w:ind w:left="688"/>
              <w:rPr>
                <w:lang w:eastAsia="en-GB"/>
              </w:rPr>
            </w:pPr>
            <w:r>
              <w:rPr>
                <w:lang w:eastAsia="en-GB"/>
              </w:rPr>
              <w:t>have a reported disorder of calcium m</w:t>
            </w:r>
            <w:r w:rsidRPr="008A6CC9">
              <w:rPr>
                <w:lang w:eastAsia="en-GB"/>
              </w:rPr>
              <w:t>etabolism</w:t>
            </w:r>
            <w:r>
              <w:rPr>
                <w:lang w:eastAsia="en-GB"/>
              </w:rPr>
              <w:t xml:space="preserve"> (ICD 10 code: </w:t>
            </w:r>
            <w:r w:rsidRPr="009A16E0">
              <w:rPr>
                <w:lang w:eastAsia="en-GB"/>
              </w:rPr>
              <w:t>E83.5</w:t>
            </w:r>
            <w:r>
              <w:rPr>
                <w:lang w:eastAsia="en-GB"/>
              </w:rPr>
              <w:t>) in the 12 months following any h</w:t>
            </w:r>
            <w:r w:rsidRPr="00C329C4">
              <w:rPr>
                <w:lang w:eastAsia="en-GB"/>
              </w:rPr>
              <w:t>ypoparathyroidism</w:t>
            </w:r>
            <w:r>
              <w:rPr>
                <w:lang w:eastAsia="en-GB"/>
              </w:rPr>
              <w:t xml:space="preserve"> predictive procedure (</w:t>
            </w:r>
            <w:r w:rsidR="00541A41">
              <w:rPr>
                <w:lang w:eastAsia="en-GB"/>
              </w:rPr>
              <w:t>Table 2</w:t>
            </w:r>
            <w:r>
              <w:rPr>
                <w:lang w:eastAsia="en-GB"/>
              </w:rPr>
              <w:fldChar w:fldCharType="begin"/>
            </w:r>
            <w:r>
              <w:rPr>
                <w:lang w:eastAsia="en-GB"/>
              </w:rPr>
              <w:instrText xml:space="preserve"> REF _Ref483323740 \h </w:instrText>
            </w:r>
            <w:r w:rsidR="00DC572B">
              <w:rPr>
                <w:lang w:eastAsia="en-GB"/>
              </w:rPr>
              <w:instrText xml:space="preserve"> \* MERGEFORMAT </w:instrText>
            </w:r>
            <w:r>
              <w:rPr>
                <w:lang w:eastAsia="en-GB"/>
              </w:rPr>
            </w:r>
            <w:r>
              <w:rPr>
                <w:lang w:eastAsia="en-GB"/>
              </w:rPr>
              <w:fldChar w:fldCharType="end"/>
            </w:r>
            <w:r>
              <w:rPr>
                <w:lang w:eastAsia="en-GB"/>
              </w:rPr>
              <w:t>), where both occur between 1 January 2008 and 31 December 2010</w:t>
            </w:r>
            <w:r w:rsidR="00DC572B">
              <w:rPr>
                <w:lang w:eastAsia="en-GB"/>
              </w:rPr>
              <w:t xml:space="preserve">, </w:t>
            </w:r>
            <w:r w:rsidR="00DC572B" w:rsidRPr="00DC572B">
              <w:rPr>
                <w:b/>
                <w:bCs/>
                <w:lang w:eastAsia="en-GB"/>
              </w:rPr>
              <w:t>AND</w:t>
            </w:r>
          </w:p>
          <w:p w14:paraId="1C0A760A" w14:textId="25485B9B" w:rsidR="008F6073" w:rsidRDefault="008F6073" w:rsidP="009E5DB6">
            <w:pPr>
              <w:pStyle w:val="BodyText"/>
              <w:numPr>
                <w:ilvl w:val="1"/>
                <w:numId w:val="13"/>
              </w:numPr>
              <w:ind w:left="688"/>
              <w:rPr>
                <w:lang w:eastAsia="en-GB"/>
              </w:rPr>
            </w:pPr>
            <w:r>
              <w:rPr>
                <w:lang w:eastAsia="en-GB"/>
              </w:rPr>
              <w:t>have a d</w:t>
            </w:r>
            <w:r w:rsidRPr="007C2CC8">
              <w:rPr>
                <w:lang w:eastAsia="en-GB"/>
              </w:rPr>
              <w:t>iagnosis of hypoparathyroidism</w:t>
            </w:r>
            <w:r>
              <w:rPr>
                <w:lang w:eastAsia="en-GB"/>
              </w:rPr>
              <w:t xml:space="preserve"> (</w:t>
            </w:r>
            <w:r w:rsidR="00541A41">
              <w:rPr>
                <w:lang w:eastAsia="en-GB"/>
              </w:rPr>
              <w:t>Table 1</w:t>
            </w:r>
            <w:r>
              <w:rPr>
                <w:lang w:eastAsia="en-GB"/>
              </w:rPr>
              <w:fldChar w:fldCharType="begin"/>
            </w:r>
            <w:r>
              <w:rPr>
                <w:lang w:eastAsia="en-GB"/>
              </w:rPr>
              <w:instrText xml:space="preserve"> REF _Ref483321428 \h </w:instrText>
            </w:r>
            <w:r w:rsidR="00DC572B">
              <w:rPr>
                <w:lang w:eastAsia="en-GB"/>
              </w:rPr>
              <w:instrText xml:space="preserve"> \* MERGEFORMAT </w:instrText>
            </w:r>
            <w:r>
              <w:rPr>
                <w:lang w:eastAsia="en-GB"/>
              </w:rPr>
            </w:r>
            <w:r>
              <w:rPr>
                <w:lang w:eastAsia="en-GB"/>
              </w:rPr>
              <w:fldChar w:fldCharType="end"/>
            </w:r>
            <w:r>
              <w:rPr>
                <w:lang w:eastAsia="en-GB"/>
              </w:rPr>
              <w:t xml:space="preserve">), </w:t>
            </w:r>
            <w:r w:rsidRPr="007C2CC8">
              <w:rPr>
                <w:lang w:eastAsia="en-GB"/>
              </w:rPr>
              <w:t>a hypopara</w:t>
            </w:r>
            <w:r>
              <w:rPr>
                <w:lang w:eastAsia="en-GB"/>
              </w:rPr>
              <w:t>thyroidism predictive diagnosis (</w:t>
            </w:r>
            <w:r w:rsidR="00541A41">
              <w:rPr>
                <w:lang w:eastAsia="en-GB"/>
              </w:rPr>
              <w:t>Table 3</w:t>
            </w:r>
            <w:r>
              <w:rPr>
                <w:lang w:eastAsia="en-GB"/>
              </w:rPr>
              <w:fldChar w:fldCharType="begin"/>
            </w:r>
            <w:r>
              <w:rPr>
                <w:lang w:eastAsia="en-GB"/>
              </w:rPr>
              <w:instrText xml:space="preserve"> REF _Ref483481670 \h </w:instrText>
            </w:r>
            <w:r w:rsidR="00DC572B">
              <w:rPr>
                <w:lang w:eastAsia="en-GB"/>
              </w:rPr>
              <w:instrText xml:space="preserve"> \* MERGEFORMAT </w:instrText>
            </w:r>
            <w:r>
              <w:rPr>
                <w:lang w:eastAsia="en-GB"/>
              </w:rPr>
            </w:r>
            <w:r>
              <w:rPr>
                <w:lang w:eastAsia="en-GB"/>
              </w:rPr>
              <w:fldChar w:fldCharType="end"/>
            </w:r>
            <w:r>
              <w:rPr>
                <w:lang w:eastAsia="en-GB"/>
              </w:rPr>
              <w:t>) or a</w:t>
            </w:r>
            <w:r w:rsidRPr="00367E8F">
              <w:rPr>
                <w:lang w:eastAsia="en-GB"/>
              </w:rPr>
              <w:t xml:space="preserve"> </w:t>
            </w:r>
            <w:r w:rsidRPr="007C2CC8">
              <w:rPr>
                <w:lang w:eastAsia="en-GB"/>
              </w:rPr>
              <w:t>hypopara</w:t>
            </w:r>
            <w:r>
              <w:rPr>
                <w:lang w:eastAsia="en-GB"/>
              </w:rPr>
              <w:t>thyroidism complication ICD-10 diagnosis (</w:t>
            </w:r>
            <w:r w:rsidR="00541A41">
              <w:rPr>
                <w:lang w:eastAsia="en-GB"/>
              </w:rPr>
              <w:t>Table 5</w:t>
            </w:r>
            <w:r>
              <w:rPr>
                <w:lang w:eastAsia="en-GB"/>
              </w:rPr>
              <w:fldChar w:fldCharType="begin"/>
            </w:r>
            <w:r>
              <w:rPr>
                <w:lang w:eastAsia="en-GB"/>
              </w:rPr>
              <w:instrText xml:space="preserve"> REF _Ref484166926 \h </w:instrText>
            </w:r>
            <w:r w:rsidR="00DC572B">
              <w:rPr>
                <w:lang w:eastAsia="en-GB"/>
              </w:rPr>
              <w:instrText xml:space="preserve"> \* MERGEFORMAT </w:instrText>
            </w:r>
            <w:r>
              <w:rPr>
                <w:lang w:eastAsia="en-GB"/>
              </w:rPr>
            </w:r>
            <w:r>
              <w:rPr>
                <w:lang w:eastAsia="en-GB"/>
              </w:rPr>
              <w:fldChar w:fldCharType="end"/>
            </w:r>
            <w:r>
              <w:rPr>
                <w:lang w:eastAsia="en-GB"/>
              </w:rPr>
              <w:t>) in the six months to 24 months from first evidence of h</w:t>
            </w:r>
            <w:r w:rsidRPr="00C329C4">
              <w:rPr>
                <w:lang w:eastAsia="en-GB"/>
              </w:rPr>
              <w:t>ypoparathyroidism</w:t>
            </w:r>
            <w:r w:rsidR="00DC572B">
              <w:rPr>
                <w:lang w:eastAsia="en-GB"/>
              </w:rPr>
              <w:t>;</w:t>
            </w:r>
          </w:p>
          <w:p w14:paraId="585F11EE" w14:textId="62EB969C" w:rsidR="008F6073" w:rsidRDefault="008F6073" w:rsidP="009E5DB6">
            <w:pPr>
              <w:pStyle w:val="BodyText"/>
              <w:numPr>
                <w:ilvl w:val="0"/>
                <w:numId w:val="24"/>
              </w:numPr>
              <w:rPr>
                <w:lang w:eastAsia="en-GB"/>
              </w:rPr>
            </w:pPr>
            <w:r>
              <w:rPr>
                <w:lang w:eastAsia="en-GB"/>
              </w:rPr>
              <w:t>there is no prevalent chronic h</w:t>
            </w:r>
            <w:r w:rsidRPr="00C329C4">
              <w:rPr>
                <w:lang w:eastAsia="en-GB"/>
              </w:rPr>
              <w:t>ypoparathyroidism</w:t>
            </w:r>
            <w:r>
              <w:rPr>
                <w:lang w:eastAsia="en-GB"/>
              </w:rPr>
              <w:t xml:space="preserve"> index date</w:t>
            </w:r>
            <w:r w:rsidR="00DC572B">
              <w:rPr>
                <w:lang w:eastAsia="en-GB"/>
              </w:rPr>
              <w:t>.</w:t>
            </w:r>
          </w:p>
          <w:p w14:paraId="523FCF6C" w14:textId="77777777" w:rsidR="008F6073" w:rsidRDefault="008F6073" w:rsidP="009E5DB6">
            <w:pPr>
              <w:pStyle w:val="BodyText"/>
              <w:numPr>
                <w:ilvl w:val="0"/>
                <w:numId w:val="13"/>
              </w:numPr>
              <w:rPr>
                <w:lang w:eastAsia="en-GB"/>
              </w:rPr>
            </w:pPr>
            <w:r>
              <w:rPr>
                <w:lang w:eastAsia="en-GB"/>
              </w:rPr>
              <w:t>For those patients who:</w:t>
            </w:r>
          </w:p>
          <w:p w14:paraId="750534A7" w14:textId="4AE6ED10" w:rsidR="008F6073" w:rsidRDefault="008F6073" w:rsidP="009E5DB6">
            <w:pPr>
              <w:pStyle w:val="BodyText"/>
              <w:numPr>
                <w:ilvl w:val="1"/>
                <w:numId w:val="13"/>
              </w:numPr>
              <w:ind w:left="688"/>
              <w:rPr>
                <w:lang w:eastAsia="en-GB"/>
              </w:rPr>
            </w:pPr>
            <w:r>
              <w:rPr>
                <w:lang w:eastAsia="en-GB"/>
              </w:rPr>
              <w:t xml:space="preserve">do not have a </w:t>
            </w:r>
            <w:r w:rsidRPr="004713B6">
              <w:rPr>
                <w:lang w:eastAsia="en-GB"/>
              </w:rPr>
              <w:t>diagnosis of hypoparathyroidism</w:t>
            </w:r>
            <w:r>
              <w:rPr>
                <w:lang w:eastAsia="en-GB"/>
              </w:rPr>
              <w:t xml:space="preserve"> (</w:t>
            </w:r>
            <w:r w:rsidR="00541A41">
              <w:rPr>
                <w:lang w:eastAsia="en-GB"/>
              </w:rPr>
              <w:t>Table 1</w:t>
            </w:r>
            <w:r>
              <w:rPr>
                <w:lang w:eastAsia="en-GB"/>
              </w:rPr>
              <w:fldChar w:fldCharType="begin"/>
            </w:r>
            <w:r>
              <w:rPr>
                <w:lang w:eastAsia="en-GB"/>
              </w:rPr>
              <w:instrText xml:space="preserve"> REF _Ref483321428 \h </w:instrText>
            </w:r>
            <w:r w:rsidR="00DC572B">
              <w:rPr>
                <w:lang w:eastAsia="en-GB"/>
              </w:rPr>
              <w:instrText xml:space="preserve"> \* MERGEFORMAT </w:instrText>
            </w:r>
            <w:r>
              <w:rPr>
                <w:lang w:eastAsia="en-GB"/>
              </w:rPr>
            </w:r>
            <w:r>
              <w:rPr>
                <w:lang w:eastAsia="en-GB"/>
              </w:rPr>
              <w:fldChar w:fldCharType="end"/>
            </w:r>
            <w:r>
              <w:rPr>
                <w:lang w:eastAsia="en-GB"/>
              </w:rPr>
              <w:t>)</w:t>
            </w:r>
            <w:r w:rsidRPr="004713B6">
              <w:rPr>
                <w:lang w:eastAsia="en-GB"/>
              </w:rPr>
              <w:t xml:space="preserve"> </w:t>
            </w:r>
            <w:r>
              <w:rPr>
                <w:lang w:eastAsia="en-GB"/>
              </w:rPr>
              <w:t>between 1 January 2007 and 31 December 2010</w:t>
            </w:r>
            <w:r w:rsidR="00DC572B">
              <w:rPr>
                <w:lang w:eastAsia="en-GB"/>
              </w:rPr>
              <w:t xml:space="preserve">, </w:t>
            </w:r>
            <w:r w:rsidR="00DC572B" w:rsidRPr="00DC572B">
              <w:rPr>
                <w:b/>
                <w:bCs/>
                <w:lang w:eastAsia="en-GB"/>
              </w:rPr>
              <w:t>AND</w:t>
            </w:r>
            <w:r>
              <w:rPr>
                <w:lang w:eastAsia="en-GB"/>
              </w:rPr>
              <w:t xml:space="preserve">  </w:t>
            </w:r>
          </w:p>
          <w:p w14:paraId="63C1E360" w14:textId="33C2B930" w:rsidR="008F6073" w:rsidRDefault="008F6073" w:rsidP="009E5DB6">
            <w:pPr>
              <w:pStyle w:val="BodyText"/>
              <w:numPr>
                <w:ilvl w:val="1"/>
                <w:numId w:val="13"/>
              </w:numPr>
              <w:ind w:left="688"/>
              <w:rPr>
                <w:lang w:eastAsia="en-GB"/>
              </w:rPr>
            </w:pPr>
            <w:r>
              <w:rPr>
                <w:lang w:eastAsia="en-GB"/>
              </w:rPr>
              <w:t>do not have a h</w:t>
            </w:r>
            <w:r w:rsidRPr="00C329C4">
              <w:rPr>
                <w:lang w:eastAsia="en-GB"/>
              </w:rPr>
              <w:t>ypoparathyroidism</w:t>
            </w:r>
            <w:r>
              <w:rPr>
                <w:lang w:eastAsia="en-GB"/>
              </w:rPr>
              <w:t xml:space="preserve"> predictive procedure (</w:t>
            </w:r>
            <w:r w:rsidR="00541A41">
              <w:rPr>
                <w:lang w:eastAsia="en-GB"/>
              </w:rPr>
              <w:t>Table 2</w:t>
            </w:r>
            <w:r>
              <w:rPr>
                <w:lang w:eastAsia="en-GB"/>
              </w:rPr>
              <w:fldChar w:fldCharType="begin"/>
            </w:r>
            <w:r>
              <w:rPr>
                <w:lang w:eastAsia="en-GB"/>
              </w:rPr>
              <w:instrText xml:space="preserve"> REF _Ref483323740 \h </w:instrText>
            </w:r>
            <w:r w:rsidR="00DC572B">
              <w:rPr>
                <w:lang w:eastAsia="en-GB"/>
              </w:rPr>
              <w:instrText xml:space="preserve"> \* MERGEFORMAT </w:instrText>
            </w:r>
            <w:r>
              <w:rPr>
                <w:lang w:eastAsia="en-GB"/>
              </w:rPr>
            </w:r>
            <w:r>
              <w:rPr>
                <w:lang w:eastAsia="en-GB"/>
              </w:rPr>
              <w:fldChar w:fldCharType="end"/>
            </w:r>
            <w:r>
              <w:rPr>
                <w:lang w:eastAsia="en-GB"/>
              </w:rPr>
              <w:t>) between 1 January 2007 and 31 December 2010</w:t>
            </w:r>
            <w:r w:rsidR="00DC572B">
              <w:rPr>
                <w:lang w:eastAsia="en-GB"/>
              </w:rPr>
              <w:t xml:space="preserve">, </w:t>
            </w:r>
            <w:r w:rsidR="00DC572B" w:rsidRPr="00DC572B">
              <w:rPr>
                <w:b/>
                <w:bCs/>
                <w:lang w:eastAsia="en-GB"/>
              </w:rPr>
              <w:t>AND</w:t>
            </w:r>
          </w:p>
          <w:p w14:paraId="203CCBB1" w14:textId="1EBEB868" w:rsidR="008F6073" w:rsidRDefault="008F6073" w:rsidP="009E5DB6">
            <w:pPr>
              <w:pStyle w:val="BodyText"/>
              <w:numPr>
                <w:ilvl w:val="1"/>
                <w:numId w:val="13"/>
              </w:numPr>
              <w:ind w:left="688"/>
              <w:rPr>
                <w:lang w:eastAsia="en-GB"/>
              </w:rPr>
            </w:pPr>
            <w:r>
              <w:rPr>
                <w:lang w:eastAsia="en-GB"/>
              </w:rPr>
              <w:t>have a reported disorder of calcium m</w:t>
            </w:r>
            <w:r w:rsidRPr="008A6CC9">
              <w:rPr>
                <w:lang w:eastAsia="en-GB"/>
              </w:rPr>
              <w:t>etabolism</w:t>
            </w:r>
            <w:r>
              <w:rPr>
                <w:lang w:eastAsia="en-GB"/>
              </w:rPr>
              <w:t xml:space="preserve"> (ICD 10 code: </w:t>
            </w:r>
            <w:r w:rsidRPr="009A16E0">
              <w:rPr>
                <w:lang w:eastAsia="en-GB"/>
              </w:rPr>
              <w:t>E83.5</w:t>
            </w:r>
            <w:r>
              <w:rPr>
                <w:lang w:eastAsia="en-GB"/>
              </w:rPr>
              <w:t>) 12 months prior to or following a h</w:t>
            </w:r>
            <w:r w:rsidRPr="00C329C4">
              <w:rPr>
                <w:lang w:eastAsia="en-GB"/>
              </w:rPr>
              <w:t>ypoparathyroidism</w:t>
            </w:r>
            <w:r>
              <w:rPr>
                <w:lang w:eastAsia="en-GB"/>
              </w:rPr>
              <w:t xml:space="preserve"> predictive diagnosis (</w:t>
            </w:r>
            <w:r w:rsidR="00541A41">
              <w:rPr>
                <w:lang w:eastAsia="en-GB"/>
              </w:rPr>
              <w:t>Table 3</w:t>
            </w:r>
            <w:r>
              <w:rPr>
                <w:lang w:eastAsia="en-GB"/>
              </w:rPr>
              <w:fldChar w:fldCharType="begin"/>
            </w:r>
            <w:r>
              <w:rPr>
                <w:lang w:eastAsia="en-GB"/>
              </w:rPr>
              <w:instrText xml:space="preserve"> REF _Ref483481670 \h </w:instrText>
            </w:r>
            <w:r w:rsidR="00DC572B">
              <w:rPr>
                <w:lang w:eastAsia="en-GB"/>
              </w:rPr>
              <w:instrText xml:space="preserve"> \* MERGEFORMAT </w:instrText>
            </w:r>
            <w:r>
              <w:rPr>
                <w:lang w:eastAsia="en-GB"/>
              </w:rPr>
            </w:r>
            <w:r>
              <w:rPr>
                <w:lang w:eastAsia="en-GB"/>
              </w:rPr>
              <w:fldChar w:fldCharType="end"/>
            </w:r>
            <w:r>
              <w:rPr>
                <w:lang w:eastAsia="en-GB"/>
              </w:rPr>
              <w:t>), where both occur between 1 January 2008 and 31 December 2010</w:t>
            </w:r>
            <w:r w:rsidR="00DC572B">
              <w:rPr>
                <w:lang w:eastAsia="en-GB"/>
              </w:rPr>
              <w:t xml:space="preserve">, </w:t>
            </w:r>
            <w:r w:rsidR="00DC572B" w:rsidRPr="00DC572B">
              <w:rPr>
                <w:b/>
                <w:bCs/>
                <w:lang w:eastAsia="en-GB"/>
              </w:rPr>
              <w:t>AND</w:t>
            </w:r>
            <w:r>
              <w:rPr>
                <w:lang w:eastAsia="en-GB"/>
              </w:rPr>
              <w:t xml:space="preserve"> </w:t>
            </w:r>
          </w:p>
          <w:p w14:paraId="575F1BC4" w14:textId="4CAF2F05" w:rsidR="008F6073" w:rsidRDefault="008F6073" w:rsidP="009E5DB6">
            <w:pPr>
              <w:pStyle w:val="BodyText"/>
              <w:numPr>
                <w:ilvl w:val="1"/>
                <w:numId w:val="13"/>
              </w:numPr>
              <w:ind w:left="688"/>
              <w:rPr>
                <w:lang w:eastAsia="en-GB"/>
              </w:rPr>
            </w:pPr>
            <w:r>
              <w:rPr>
                <w:lang w:eastAsia="en-GB"/>
              </w:rPr>
              <w:t>have a d</w:t>
            </w:r>
            <w:r w:rsidRPr="007C2CC8">
              <w:rPr>
                <w:lang w:eastAsia="en-GB"/>
              </w:rPr>
              <w:t>iagnosis of hypoparathyroidism</w:t>
            </w:r>
            <w:r>
              <w:rPr>
                <w:lang w:eastAsia="en-GB"/>
              </w:rPr>
              <w:t xml:space="preserve"> (</w:t>
            </w:r>
            <w:r w:rsidR="00541A41">
              <w:rPr>
                <w:lang w:eastAsia="en-GB"/>
              </w:rPr>
              <w:t>Table 1</w:t>
            </w:r>
            <w:r>
              <w:rPr>
                <w:lang w:eastAsia="en-GB"/>
              </w:rPr>
              <w:fldChar w:fldCharType="begin"/>
            </w:r>
            <w:r>
              <w:rPr>
                <w:lang w:eastAsia="en-GB"/>
              </w:rPr>
              <w:instrText xml:space="preserve"> REF _Ref483321428 \h </w:instrText>
            </w:r>
            <w:r w:rsidR="00DC572B">
              <w:rPr>
                <w:lang w:eastAsia="en-GB"/>
              </w:rPr>
              <w:instrText xml:space="preserve"> \* MERGEFORMAT </w:instrText>
            </w:r>
            <w:r>
              <w:rPr>
                <w:lang w:eastAsia="en-GB"/>
              </w:rPr>
            </w:r>
            <w:r>
              <w:rPr>
                <w:lang w:eastAsia="en-GB"/>
              </w:rPr>
              <w:fldChar w:fldCharType="end"/>
            </w:r>
            <w:r>
              <w:rPr>
                <w:lang w:eastAsia="en-GB"/>
              </w:rPr>
              <w:t xml:space="preserve">), </w:t>
            </w:r>
            <w:r w:rsidRPr="007C2CC8">
              <w:rPr>
                <w:lang w:eastAsia="en-GB"/>
              </w:rPr>
              <w:t>a hypopara</w:t>
            </w:r>
            <w:r>
              <w:rPr>
                <w:lang w:eastAsia="en-GB"/>
              </w:rPr>
              <w:t>thyroidism predictive diagnosis (</w:t>
            </w:r>
            <w:r w:rsidR="00541A41">
              <w:rPr>
                <w:lang w:eastAsia="en-GB"/>
              </w:rPr>
              <w:t>Table 3</w:t>
            </w:r>
            <w:r>
              <w:rPr>
                <w:lang w:eastAsia="en-GB"/>
              </w:rPr>
              <w:fldChar w:fldCharType="begin"/>
            </w:r>
            <w:r>
              <w:rPr>
                <w:lang w:eastAsia="en-GB"/>
              </w:rPr>
              <w:instrText xml:space="preserve"> REF _Ref483481670 \h </w:instrText>
            </w:r>
            <w:r w:rsidR="00DC572B">
              <w:rPr>
                <w:lang w:eastAsia="en-GB"/>
              </w:rPr>
              <w:instrText xml:space="preserve"> \* MERGEFORMAT </w:instrText>
            </w:r>
            <w:r>
              <w:rPr>
                <w:lang w:eastAsia="en-GB"/>
              </w:rPr>
            </w:r>
            <w:r>
              <w:rPr>
                <w:lang w:eastAsia="en-GB"/>
              </w:rPr>
              <w:fldChar w:fldCharType="end"/>
            </w:r>
            <w:r>
              <w:rPr>
                <w:lang w:eastAsia="en-GB"/>
              </w:rPr>
              <w:t>) or a</w:t>
            </w:r>
            <w:r w:rsidRPr="00367E8F">
              <w:rPr>
                <w:lang w:eastAsia="en-GB"/>
              </w:rPr>
              <w:t xml:space="preserve"> </w:t>
            </w:r>
            <w:r w:rsidRPr="007C2CC8">
              <w:rPr>
                <w:lang w:eastAsia="en-GB"/>
              </w:rPr>
              <w:t>hypopara</w:t>
            </w:r>
            <w:r>
              <w:rPr>
                <w:lang w:eastAsia="en-GB"/>
              </w:rPr>
              <w:t>thyroidism complication ICD-10 diagnosis (</w:t>
            </w:r>
            <w:r w:rsidR="00541A41">
              <w:rPr>
                <w:lang w:eastAsia="en-GB"/>
              </w:rPr>
              <w:t>Table 5</w:t>
            </w:r>
            <w:r>
              <w:rPr>
                <w:lang w:eastAsia="en-GB"/>
              </w:rPr>
              <w:fldChar w:fldCharType="begin"/>
            </w:r>
            <w:r>
              <w:rPr>
                <w:lang w:eastAsia="en-GB"/>
              </w:rPr>
              <w:instrText xml:space="preserve"> REF _Ref484166926 \h </w:instrText>
            </w:r>
            <w:r w:rsidR="00DC572B">
              <w:rPr>
                <w:lang w:eastAsia="en-GB"/>
              </w:rPr>
              <w:instrText xml:space="preserve"> \* MERGEFORMAT </w:instrText>
            </w:r>
            <w:r>
              <w:rPr>
                <w:lang w:eastAsia="en-GB"/>
              </w:rPr>
            </w:r>
            <w:r>
              <w:rPr>
                <w:lang w:eastAsia="en-GB"/>
              </w:rPr>
              <w:fldChar w:fldCharType="end"/>
            </w:r>
            <w:r>
              <w:rPr>
                <w:lang w:eastAsia="en-GB"/>
              </w:rPr>
              <w:t>) in the six months to 24 months from first evidence of h</w:t>
            </w:r>
            <w:r w:rsidRPr="00C329C4">
              <w:rPr>
                <w:lang w:eastAsia="en-GB"/>
              </w:rPr>
              <w:t>ypoparathyroidis</w:t>
            </w:r>
            <w:r w:rsidR="00DC572B">
              <w:rPr>
                <w:lang w:eastAsia="en-GB"/>
              </w:rPr>
              <w:t>m;</w:t>
            </w:r>
          </w:p>
          <w:p w14:paraId="76B91F91" w14:textId="1A12C8A1" w:rsidR="008F6073" w:rsidRDefault="008F6073" w:rsidP="009E5DB6">
            <w:pPr>
              <w:pStyle w:val="BodyText"/>
              <w:numPr>
                <w:ilvl w:val="0"/>
                <w:numId w:val="24"/>
              </w:numPr>
              <w:rPr>
                <w:lang w:eastAsia="en-GB"/>
              </w:rPr>
            </w:pPr>
            <w:r>
              <w:rPr>
                <w:lang w:eastAsia="en-GB"/>
              </w:rPr>
              <w:t>the prevalent chronic h</w:t>
            </w:r>
            <w:r w:rsidRPr="00C329C4">
              <w:rPr>
                <w:lang w:eastAsia="en-GB"/>
              </w:rPr>
              <w:t>ypoparathyroidism</w:t>
            </w:r>
            <w:r>
              <w:rPr>
                <w:lang w:eastAsia="en-GB"/>
              </w:rPr>
              <w:t xml:space="preserve"> index date will be defined as the date of disorder of calcium m</w:t>
            </w:r>
            <w:r w:rsidRPr="008A6CC9">
              <w:rPr>
                <w:lang w:eastAsia="en-GB"/>
              </w:rPr>
              <w:t>etabolism</w:t>
            </w:r>
            <w:r>
              <w:rPr>
                <w:lang w:eastAsia="en-GB"/>
              </w:rPr>
              <w:t>, subject to a 12 month look back period (from the earliest of date of h</w:t>
            </w:r>
            <w:r w:rsidRPr="00C329C4">
              <w:rPr>
                <w:lang w:eastAsia="en-GB"/>
              </w:rPr>
              <w:t>ypoparathyroidism</w:t>
            </w:r>
            <w:r>
              <w:rPr>
                <w:lang w:eastAsia="en-GB"/>
              </w:rPr>
              <w:t xml:space="preserve"> predictive and date of disorder of calcium m</w:t>
            </w:r>
            <w:r w:rsidRPr="008A6CC9">
              <w:rPr>
                <w:lang w:eastAsia="en-GB"/>
              </w:rPr>
              <w:t>etabolism</w:t>
            </w:r>
            <w:r>
              <w:rPr>
                <w:lang w:eastAsia="en-GB"/>
              </w:rPr>
              <w:t>) where</w:t>
            </w:r>
            <w:r w:rsidRPr="008822C9">
              <w:rPr>
                <w:lang w:eastAsia="en-GB"/>
              </w:rPr>
              <w:t xml:space="preserve"> </w:t>
            </w:r>
            <w:r>
              <w:rPr>
                <w:lang w:eastAsia="en-GB"/>
              </w:rPr>
              <w:t>a either a h</w:t>
            </w:r>
            <w:r w:rsidRPr="00C329C4">
              <w:rPr>
                <w:lang w:eastAsia="en-GB"/>
              </w:rPr>
              <w:t>ypoparathyroidism</w:t>
            </w:r>
            <w:r>
              <w:rPr>
                <w:lang w:eastAsia="en-GB"/>
              </w:rPr>
              <w:t xml:space="preserve"> predictive diagnosis (</w:t>
            </w:r>
            <w:r w:rsidR="00541A41">
              <w:rPr>
                <w:lang w:eastAsia="en-GB"/>
              </w:rPr>
              <w:t>Table 3</w:t>
            </w:r>
            <w:r>
              <w:rPr>
                <w:lang w:eastAsia="en-GB"/>
              </w:rPr>
              <w:fldChar w:fldCharType="begin"/>
            </w:r>
            <w:r>
              <w:rPr>
                <w:lang w:eastAsia="en-GB"/>
              </w:rPr>
              <w:instrText xml:space="preserve"> REF _Ref483481670 \h </w:instrText>
            </w:r>
            <w:r w:rsidR="00DC572B">
              <w:rPr>
                <w:lang w:eastAsia="en-GB"/>
              </w:rPr>
              <w:instrText xml:space="preserve"> \* MERGEFORMAT </w:instrText>
            </w:r>
            <w:r>
              <w:rPr>
                <w:lang w:eastAsia="en-GB"/>
              </w:rPr>
            </w:r>
            <w:r>
              <w:rPr>
                <w:lang w:eastAsia="en-GB"/>
              </w:rPr>
              <w:fldChar w:fldCharType="end"/>
            </w:r>
            <w:r>
              <w:rPr>
                <w:lang w:eastAsia="en-GB"/>
              </w:rPr>
              <w:t>) or a disorder of calcium m</w:t>
            </w:r>
            <w:r w:rsidRPr="008A6CC9">
              <w:rPr>
                <w:lang w:eastAsia="en-GB"/>
              </w:rPr>
              <w:t>etabolism</w:t>
            </w:r>
            <w:r>
              <w:rPr>
                <w:lang w:eastAsia="en-GB"/>
              </w:rPr>
              <w:t xml:space="preserve"> must occur. Where disorder of calcium m</w:t>
            </w:r>
            <w:r w:rsidRPr="008A6CC9">
              <w:rPr>
                <w:lang w:eastAsia="en-GB"/>
              </w:rPr>
              <w:t>etabolism</w:t>
            </w:r>
            <w:r>
              <w:rPr>
                <w:lang w:eastAsia="en-GB"/>
              </w:rPr>
              <w:t xml:space="preserve">s </w:t>
            </w:r>
            <w:proofErr w:type="gramStart"/>
            <w:r>
              <w:rPr>
                <w:lang w:eastAsia="en-GB"/>
              </w:rPr>
              <w:t>occur</w:t>
            </w:r>
            <w:proofErr w:type="gramEnd"/>
            <w:r>
              <w:rPr>
                <w:lang w:eastAsia="en-GB"/>
              </w:rPr>
              <w:t xml:space="preserve"> both before and after a h</w:t>
            </w:r>
            <w:r w:rsidRPr="00C329C4">
              <w:rPr>
                <w:lang w:eastAsia="en-GB"/>
              </w:rPr>
              <w:t>ypoparathyroidism</w:t>
            </w:r>
            <w:r>
              <w:rPr>
                <w:lang w:eastAsia="en-GB"/>
              </w:rPr>
              <w:t xml:space="preserve"> predictive diagnosis (and both are within 12 months of the date of h</w:t>
            </w:r>
            <w:r w:rsidRPr="00C329C4">
              <w:rPr>
                <w:lang w:eastAsia="en-GB"/>
              </w:rPr>
              <w:t>ypoparathyroidism</w:t>
            </w:r>
            <w:r>
              <w:rPr>
                <w:lang w:eastAsia="en-GB"/>
              </w:rPr>
              <w:t xml:space="preserve"> predictive diagnosis) the earliest disorder of calcium m</w:t>
            </w:r>
            <w:r w:rsidRPr="008A6CC9">
              <w:rPr>
                <w:lang w:eastAsia="en-GB"/>
              </w:rPr>
              <w:t>etabolism</w:t>
            </w:r>
            <w:r>
              <w:rPr>
                <w:lang w:eastAsia="en-GB"/>
              </w:rPr>
              <w:t xml:space="preserve"> should be selected as the index date.</w:t>
            </w:r>
          </w:p>
          <w:p w14:paraId="7C96535B" w14:textId="77777777" w:rsidR="00C70742" w:rsidRDefault="00C70742" w:rsidP="00DC572B">
            <w:pPr>
              <w:pStyle w:val="BodyText"/>
              <w:rPr>
                <w:lang w:eastAsia="en-GB"/>
              </w:rPr>
            </w:pPr>
          </w:p>
          <w:p w14:paraId="51A47630" w14:textId="079ACB7C" w:rsidR="00EA2E25" w:rsidRPr="008F6073" w:rsidRDefault="00EA2E25" w:rsidP="009E5DB6">
            <w:pPr>
              <w:pStyle w:val="BodyText"/>
              <w:numPr>
                <w:ilvl w:val="0"/>
                <w:numId w:val="9"/>
              </w:numPr>
              <w:rPr>
                <w:b/>
                <w:bCs/>
                <w:u w:val="single"/>
                <w:lang w:eastAsia="en-GB"/>
              </w:rPr>
            </w:pPr>
            <w:r w:rsidRPr="008F6073">
              <w:rPr>
                <w:b/>
                <w:bCs/>
                <w:u w:val="single"/>
                <w:lang w:eastAsia="en-GB"/>
              </w:rPr>
              <w:t xml:space="preserve">Poorly </w:t>
            </w:r>
            <w:r w:rsidR="00FF0D5A">
              <w:rPr>
                <w:b/>
                <w:bCs/>
                <w:u w:val="single"/>
                <w:lang w:eastAsia="en-GB"/>
              </w:rPr>
              <w:t>C</w:t>
            </w:r>
            <w:r w:rsidRPr="008F6073">
              <w:rPr>
                <w:b/>
                <w:bCs/>
                <w:u w:val="single"/>
                <w:lang w:eastAsia="en-GB"/>
              </w:rPr>
              <w:t xml:space="preserve">ontrolled </w:t>
            </w:r>
            <w:r w:rsidR="00FF0D5A">
              <w:rPr>
                <w:b/>
                <w:bCs/>
                <w:u w:val="single"/>
                <w:lang w:eastAsia="en-GB"/>
              </w:rPr>
              <w:t>H</w:t>
            </w:r>
            <w:r w:rsidRPr="008F6073">
              <w:rPr>
                <w:b/>
                <w:bCs/>
                <w:u w:val="single"/>
                <w:lang w:eastAsia="en-GB"/>
              </w:rPr>
              <w:t>ypoparathyroidism</w:t>
            </w:r>
            <w:r w:rsidR="002619EF" w:rsidRPr="008F6073">
              <w:rPr>
                <w:b/>
                <w:bCs/>
                <w:u w:val="single"/>
                <w:lang w:eastAsia="en-GB"/>
              </w:rPr>
              <w:t>:</w:t>
            </w:r>
          </w:p>
          <w:p w14:paraId="30B371CA" w14:textId="1E3966D5" w:rsidR="002619EF" w:rsidRDefault="00EA2E25" w:rsidP="00DC572B">
            <w:pPr>
              <w:pStyle w:val="BodyText"/>
              <w:ind w:left="360"/>
              <w:rPr>
                <w:lang w:eastAsia="en-GB"/>
              </w:rPr>
            </w:pPr>
            <w:r>
              <w:rPr>
                <w:lang w:eastAsia="en-GB"/>
              </w:rPr>
              <w:t>Patients who have hypoparathyroidism</w:t>
            </w:r>
            <w:r w:rsidR="002619EF">
              <w:rPr>
                <w:lang w:eastAsia="en-GB"/>
              </w:rPr>
              <w:t xml:space="preserve"> </w:t>
            </w:r>
            <w:r w:rsidR="002619EF" w:rsidRPr="002619EF">
              <w:rPr>
                <w:b/>
                <w:bCs/>
                <w:lang w:eastAsia="en-GB"/>
              </w:rPr>
              <w:t>AND</w:t>
            </w:r>
            <w:r w:rsidR="00D966E6">
              <w:rPr>
                <w:b/>
                <w:bCs/>
                <w:lang w:eastAsia="en-GB"/>
              </w:rPr>
              <w:t>:</w:t>
            </w:r>
          </w:p>
          <w:p w14:paraId="07245BA0" w14:textId="77777777" w:rsidR="002619EF" w:rsidRDefault="00EA2E25" w:rsidP="009E5DB6">
            <w:pPr>
              <w:pStyle w:val="BodyText"/>
              <w:numPr>
                <w:ilvl w:val="0"/>
                <w:numId w:val="10"/>
              </w:numPr>
              <w:ind w:left="720"/>
              <w:rPr>
                <w:lang w:eastAsia="en-GB"/>
              </w:rPr>
            </w:pPr>
            <w:r>
              <w:rPr>
                <w:lang w:eastAsia="en-GB"/>
              </w:rPr>
              <w:t>three occurrences of disorder of calcium within an in-hospital setting (this can include multiple diagnoses on the same day/episode of care from any hospital setting including clinics and day surgery, but ideally would not be doubled counted using NACARS and DAD)</w:t>
            </w:r>
            <w:r w:rsidR="002619EF">
              <w:rPr>
                <w:lang w:eastAsia="en-GB"/>
              </w:rPr>
              <w:t xml:space="preserve">, </w:t>
            </w:r>
            <w:r w:rsidR="002619EF" w:rsidRPr="002619EF">
              <w:rPr>
                <w:b/>
                <w:bCs/>
                <w:lang w:eastAsia="en-GB"/>
              </w:rPr>
              <w:t>OR</w:t>
            </w:r>
          </w:p>
          <w:p w14:paraId="0FFD3004" w14:textId="7A50227F" w:rsidR="006640CC" w:rsidRPr="006640CC" w:rsidRDefault="002619EF" w:rsidP="009E5DB6">
            <w:pPr>
              <w:pStyle w:val="BodyText"/>
              <w:numPr>
                <w:ilvl w:val="0"/>
                <w:numId w:val="10"/>
              </w:numPr>
              <w:ind w:left="720"/>
              <w:rPr>
                <w:lang w:eastAsia="en-GB"/>
              </w:rPr>
            </w:pPr>
            <w:r>
              <w:rPr>
                <w:lang w:eastAsia="en-GB"/>
              </w:rPr>
              <w:t>a</w:t>
            </w:r>
            <w:r w:rsidR="00EA2E25">
              <w:rPr>
                <w:lang w:eastAsia="en-GB"/>
              </w:rPr>
              <w:t xml:space="preserve"> hypoparathyroidism complication ICD-10 diagnosis (</w:t>
            </w:r>
            <w:r w:rsidR="00D966E6">
              <w:rPr>
                <w:lang w:eastAsia="en-GB"/>
              </w:rPr>
              <w:t>Table 5</w:t>
            </w:r>
            <w:r w:rsidR="00EA2E25">
              <w:rPr>
                <w:lang w:eastAsia="en-GB"/>
              </w:rPr>
              <w:t>) within a secondary care</w:t>
            </w:r>
            <w:r>
              <w:rPr>
                <w:lang w:eastAsia="en-GB"/>
              </w:rPr>
              <w:t xml:space="preserve">, </w:t>
            </w:r>
            <w:r w:rsidRPr="006640CC">
              <w:rPr>
                <w:b/>
                <w:bCs/>
                <w:lang w:eastAsia="en-GB"/>
              </w:rPr>
              <w:t>OR</w:t>
            </w:r>
          </w:p>
          <w:p w14:paraId="2629363C" w14:textId="2E812633" w:rsidR="00B53EC0" w:rsidRPr="00B53EC0" w:rsidRDefault="002619EF" w:rsidP="009E5DB6">
            <w:pPr>
              <w:pStyle w:val="BodyText"/>
              <w:numPr>
                <w:ilvl w:val="0"/>
                <w:numId w:val="10"/>
              </w:numPr>
              <w:ind w:left="720"/>
              <w:rPr>
                <w:u w:val="single"/>
                <w:lang w:eastAsia="en-GB"/>
              </w:rPr>
            </w:pPr>
            <w:r w:rsidRPr="00B53EC0">
              <w:rPr>
                <w:lang w:eastAsia="en-GB"/>
              </w:rPr>
              <w:t>a</w:t>
            </w:r>
            <w:r w:rsidR="00EA2E25" w:rsidRPr="00B53EC0">
              <w:rPr>
                <w:lang w:eastAsia="en-GB"/>
              </w:rPr>
              <w:t xml:space="preserve"> hypoparathyroidism complication ICD-9 diagnosis (</w:t>
            </w:r>
            <w:r w:rsidR="00D966E6">
              <w:rPr>
                <w:lang w:eastAsia="en-GB"/>
              </w:rPr>
              <w:t>Table 6</w:t>
            </w:r>
            <w:r w:rsidR="00EA2E25" w:rsidRPr="00B53EC0">
              <w:rPr>
                <w:lang w:eastAsia="en-GB"/>
              </w:rPr>
              <w:t>) regardless of care setting,</w:t>
            </w:r>
            <w:r w:rsidR="006640CC" w:rsidRPr="00B53EC0">
              <w:rPr>
                <w:lang w:eastAsia="en-GB"/>
              </w:rPr>
              <w:t xml:space="preserve"> i</w:t>
            </w:r>
            <w:r w:rsidR="00EA2E25" w:rsidRPr="00B53EC0">
              <w:rPr>
                <w:lang w:eastAsia="en-GB"/>
              </w:rPr>
              <w:t>n the 24 months from first evidence of hypoparathyroidism</w:t>
            </w:r>
            <w:r w:rsidR="00D966E6">
              <w:rPr>
                <w:lang w:eastAsia="en-GB"/>
              </w:rPr>
              <w:t>.</w:t>
            </w:r>
            <w:r w:rsidR="00EA2E25" w:rsidRPr="002C6C37">
              <w:rPr>
                <w:highlight w:val="yellow"/>
                <w:lang w:eastAsia="en-GB"/>
              </w:rPr>
              <w:t xml:space="preserve"> </w:t>
            </w:r>
          </w:p>
          <w:p w14:paraId="7D42DD81" w14:textId="191DA6AB" w:rsidR="00B53EC0" w:rsidRDefault="00B53EC0" w:rsidP="00DC572B">
            <w:pPr>
              <w:pStyle w:val="BodyText"/>
              <w:rPr>
                <w:u w:val="single"/>
                <w:lang w:eastAsia="en-GB"/>
              </w:rPr>
            </w:pPr>
          </w:p>
          <w:p w14:paraId="218FAD10" w14:textId="77777777" w:rsidR="009D1245" w:rsidRDefault="009D1245" w:rsidP="00DC572B">
            <w:pPr>
              <w:pStyle w:val="BodyText"/>
              <w:rPr>
                <w:u w:val="single"/>
                <w:lang w:eastAsia="en-GB"/>
              </w:rPr>
            </w:pPr>
          </w:p>
          <w:p w14:paraId="5D6BD6B4" w14:textId="78F8D651" w:rsidR="00FF0D5A" w:rsidRPr="00444D0D" w:rsidRDefault="00FF0D5A" w:rsidP="00DC572B">
            <w:pPr>
              <w:pStyle w:val="BodyText"/>
              <w:rPr>
                <w:u w:val="single"/>
                <w:lang w:eastAsia="en-GB"/>
              </w:rPr>
            </w:pPr>
            <w:r>
              <w:rPr>
                <w:u w:val="single"/>
                <w:lang w:eastAsia="en-GB"/>
              </w:rPr>
              <w:lastRenderedPageBreak/>
              <w:t>I</w:t>
            </w:r>
            <w:r w:rsidRPr="00444D0D">
              <w:rPr>
                <w:u w:val="single"/>
                <w:lang w:eastAsia="en-GB"/>
              </w:rPr>
              <w:t>ndex date for</w:t>
            </w:r>
            <w:r>
              <w:rPr>
                <w:u w:val="single"/>
                <w:lang w:eastAsia="en-GB"/>
              </w:rPr>
              <w:t xml:space="preserve"> Incident Poorly Controlled Hypoparathyroidism:</w:t>
            </w:r>
            <w:r w:rsidRPr="00444D0D">
              <w:rPr>
                <w:u w:val="single"/>
                <w:lang w:eastAsia="en-GB"/>
              </w:rPr>
              <w:t xml:space="preserve"> </w:t>
            </w:r>
          </w:p>
          <w:p w14:paraId="3A0A7E4A" w14:textId="5DA53471" w:rsidR="006E148C" w:rsidRPr="006E148C" w:rsidRDefault="006E148C" w:rsidP="00DC572B">
            <w:pPr>
              <w:pStyle w:val="BodyText"/>
              <w:rPr>
                <w:lang w:eastAsia="en-GB"/>
              </w:rPr>
            </w:pPr>
            <w:r w:rsidRPr="006E148C">
              <w:rPr>
                <w:lang w:eastAsia="en-GB"/>
              </w:rPr>
              <w:t>The incident poorly controlled hypoparathyroidism index date may only occur for patients who have an incident chronic hypoparathyroidism index date. It will be the earliest of:</w:t>
            </w:r>
          </w:p>
          <w:p w14:paraId="3F9BB839" w14:textId="77777777" w:rsidR="006E148C" w:rsidRPr="006E148C" w:rsidRDefault="006E148C" w:rsidP="009E5DB6">
            <w:pPr>
              <w:pStyle w:val="BodyText"/>
              <w:numPr>
                <w:ilvl w:val="0"/>
                <w:numId w:val="14"/>
              </w:numPr>
              <w:rPr>
                <w:lang w:eastAsia="en-GB"/>
              </w:rPr>
            </w:pPr>
            <w:r w:rsidRPr="006E148C">
              <w:rPr>
                <w:lang w:eastAsia="en-GB"/>
              </w:rPr>
              <w:t xml:space="preserve">the date of the third occurrence of disorder of calcium (ICD 10 code: E83.5) within 24 months following a patient’s incident chronic hypoparathyroidism index </w:t>
            </w:r>
            <w:proofErr w:type="gramStart"/>
            <w:r w:rsidRPr="006E148C">
              <w:rPr>
                <w:lang w:eastAsia="en-GB"/>
              </w:rPr>
              <w:t>date;</w:t>
            </w:r>
            <w:proofErr w:type="gramEnd"/>
          </w:p>
          <w:p w14:paraId="53F7264B" w14:textId="14C6BF4D" w:rsidR="006E148C" w:rsidRPr="006E148C" w:rsidRDefault="006E148C" w:rsidP="009E5DB6">
            <w:pPr>
              <w:pStyle w:val="BodyText"/>
              <w:numPr>
                <w:ilvl w:val="0"/>
                <w:numId w:val="14"/>
              </w:numPr>
              <w:rPr>
                <w:lang w:eastAsia="en-GB"/>
              </w:rPr>
            </w:pPr>
            <w:r w:rsidRPr="006E148C">
              <w:rPr>
                <w:lang w:eastAsia="en-GB"/>
              </w:rPr>
              <w:t>the date of any ICD-10 poorly controlled hypoparathyroidism diagnosis code (</w:t>
            </w:r>
            <w:r w:rsidR="00C70742">
              <w:rPr>
                <w:lang w:eastAsia="en-GB"/>
              </w:rPr>
              <w:t>Table 5</w:t>
            </w:r>
            <w:r w:rsidRPr="006E148C">
              <w:rPr>
                <w:lang w:eastAsia="en-GB"/>
              </w:rPr>
              <w:fldChar w:fldCharType="begin"/>
            </w:r>
            <w:r w:rsidRPr="006E148C">
              <w:rPr>
                <w:lang w:eastAsia="en-GB"/>
              </w:rPr>
              <w:instrText xml:space="preserve"> REF _Ref484166926 \h  \* MERGEFORMAT </w:instrText>
            </w:r>
            <w:r w:rsidRPr="006E148C">
              <w:rPr>
                <w:lang w:eastAsia="en-GB"/>
              </w:rPr>
            </w:r>
            <w:r w:rsidRPr="006E148C">
              <w:rPr>
                <w:lang w:eastAsia="en-GB"/>
              </w:rPr>
              <w:fldChar w:fldCharType="end"/>
            </w:r>
            <w:r w:rsidRPr="006E148C">
              <w:rPr>
                <w:lang w:eastAsia="en-GB"/>
              </w:rPr>
              <w:t xml:space="preserve">) within 24 months following a patient’s incident chronic hypoparathyroidism index </w:t>
            </w:r>
            <w:proofErr w:type="gramStart"/>
            <w:r w:rsidRPr="006E148C">
              <w:rPr>
                <w:lang w:eastAsia="en-GB"/>
              </w:rPr>
              <w:t>date;</w:t>
            </w:r>
            <w:proofErr w:type="gramEnd"/>
          </w:p>
          <w:p w14:paraId="4B84DEF1" w14:textId="639A7064" w:rsidR="006E148C" w:rsidRPr="006E148C" w:rsidRDefault="006E148C" w:rsidP="009E5DB6">
            <w:pPr>
              <w:pStyle w:val="BodyText"/>
              <w:numPr>
                <w:ilvl w:val="0"/>
                <w:numId w:val="14"/>
              </w:numPr>
              <w:rPr>
                <w:lang w:eastAsia="en-GB"/>
              </w:rPr>
            </w:pPr>
            <w:r w:rsidRPr="006E148C">
              <w:rPr>
                <w:lang w:eastAsia="en-GB"/>
              </w:rPr>
              <w:t>the date of any ICD-9 poorly controlled hypoparathyroidism diagnosis code (</w:t>
            </w:r>
            <w:r w:rsidR="00C70742">
              <w:rPr>
                <w:lang w:eastAsia="en-GB"/>
              </w:rPr>
              <w:t>Table 6</w:t>
            </w:r>
            <w:r w:rsidRPr="006E148C">
              <w:rPr>
                <w:lang w:eastAsia="en-GB"/>
              </w:rPr>
              <w:t>) within 24 months following a patient’s incident chronic hypoparathyroidism index date.</w:t>
            </w:r>
          </w:p>
          <w:p w14:paraId="0C6BC45C" w14:textId="25D9BAC1" w:rsidR="00FF0D5A" w:rsidRDefault="00FF0D5A" w:rsidP="00DC572B">
            <w:pPr>
              <w:rPr>
                <w:lang w:eastAsia="en-GB"/>
              </w:rPr>
            </w:pPr>
          </w:p>
          <w:p w14:paraId="5455D41A" w14:textId="312A6FA2" w:rsidR="006E148C" w:rsidRPr="00444D0D" w:rsidRDefault="006E148C" w:rsidP="00DC572B">
            <w:pPr>
              <w:pStyle w:val="BodyText"/>
              <w:rPr>
                <w:u w:val="single"/>
                <w:lang w:eastAsia="en-GB"/>
              </w:rPr>
            </w:pPr>
            <w:r>
              <w:rPr>
                <w:u w:val="single"/>
                <w:lang w:eastAsia="en-GB"/>
              </w:rPr>
              <w:t>I</w:t>
            </w:r>
            <w:r w:rsidRPr="00444D0D">
              <w:rPr>
                <w:u w:val="single"/>
                <w:lang w:eastAsia="en-GB"/>
              </w:rPr>
              <w:t>ndex date for</w:t>
            </w:r>
            <w:r>
              <w:rPr>
                <w:u w:val="single"/>
                <w:lang w:eastAsia="en-GB"/>
              </w:rPr>
              <w:t xml:space="preserve"> Prevalent Poorly Controlled Hypoparathyroidism:</w:t>
            </w:r>
            <w:r w:rsidRPr="00444D0D">
              <w:rPr>
                <w:u w:val="single"/>
                <w:lang w:eastAsia="en-GB"/>
              </w:rPr>
              <w:t xml:space="preserve"> </w:t>
            </w:r>
          </w:p>
          <w:p w14:paraId="7590C041" w14:textId="4F5C0236" w:rsidR="006E148C" w:rsidRDefault="006E148C" w:rsidP="00DC572B">
            <w:pPr>
              <w:pStyle w:val="BodyText"/>
              <w:rPr>
                <w:lang w:eastAsia="en-GB"/>
              </w:rPr>
            </w:pPr>
            <w:r w:rsidRPr="006037A8">
              <w:rPr>
                <w:lang w:eastAsia="en-GB"/>
              </w:rPr>
              <w:t xml:space="preserve">The </w:t>
            </w:r>
            <w:r>
              <w:rPr>
                <w:lang w:eastAsia="en-GB"/>
              </w:rPr>
              <w:t>prevalent poorly controlled</w:t>
            </w:r>
            <w:r w:rsidRPr="006037A8">
              <w:rPr>
                <w:lang w:eastAsia="en-GB"/>
              </w:rPr>
              <w:t xml:space="preserve"> hypoparathyroidism index date </w:t>
            </w:r>
            <w:r>
              <w:rPr>
                <w:lang w:eastAsia="en-GB"/>
              </w:rPr>
              <w:t>follows the same process as the incident</w:t>
            </w:r>
            <w:r w:rsidRPr="00571DEA">
              <w:rPr>
                <w:lang w:eastAsia="en-GB"/>
              </w:rPr>
              <w:t xml:space="preserve"> </w:t>
            </w:r>
            <w:r>
              <w:rPr>
                <w:lang w:eastAsia="en-GB"/>
              </w:rPr>
              <w:t>poorly controlled</w:t>
            </w:r>
            <w:r w:rsidRPr="006037A8">
              <w:rPr>
                <w:lang w:eastAsia="en-GB"/>
              </w:rPr>
              <w:t xml:space="preserve"> hypoparathyroidism index </w:t>
            </w:r>
            <w:proofErr w:type="gramStart"/>
            <w:r w:rsidRPr="006037A8">
              <w:rPr>
                <w:lang w:eastAsia="en-GB"/>
              </w:rPr>
              <w:t>date</w:t>
            </w:r>
            <w:r>
              <w:rPr>
                <w:lang w:eastAsia="en-GB"/>
              </w:rPr>
              <w:t>, but</w:t>
            </w:r>
            <w:proofErr w:type="gramEnd"/>
            <w:r>
              <w:rPr>
                <w:lang w:eastAsia="en-GB"/>
              </w:rPr>
              <w:t xml:space="preserve"> references those patients with a prevalent chronic hypoparathyroidism index date rather than an incident chronic hypoparathyroidism index date. As such it </w:t>
            </w:r>
            <w:r w:rsidRPr="006037A8">
              <w:rPr>
                <w:lang w:eastAsia="en-GB"/>
              </w:rPr>
              <w:t>will be</w:t>
            </w:r>
            <w:r>
              <w:rPr>
                <w:lang w:eastAsia="en-GB"/>
              </w:rPr>
              <w:t xml:space="preserve"> the earliest of:</w:t>
            </w:r>
          </w:p>
          <w:p w14:paraId="4D2C872E" w14:textId="77777777" w:rsidR="006E148C" w:rsidRDefault="006E148C" w:rsidP="009E5DB6">
            <w:pPr>
              <w:pStyle w:val="BodyText"/>
              <w:numPr>
                <w:ilvl w:val="0"/>
                <w:numId w:val="20"/>
              </w:numPr>
              <w:rPr>
                <w:lang w:eastAsia="en-GB"/>
              </w:rPr>
            </w:pPr>
            <w:r w:rsidRPr="006037A8">
              <w:rPr>
                <w:lang w:eastAsia="en-GB"/>
              </w:rPr>
              <w:t xml:space="preserve">the date </w:t>
            </w:r>
            <w:r>
              <w:rPr>
                <w:lang w:eastAsia="en-GB"/>
              </w:rPr>
              <w:t>of the third occurrence of</w:t>
            </w:r>
            <w:r w:rsidRPr="006037A8">
              <w:rPr>
                <w:lang w:eastAsia="en-GB"/>
              </w:rPr>
              <w:t xml:space="preserve"> </w:t>
            </w:r>
            <w:r>
              <w:rPr>
                <w:lang w:eastAsia="en-GB"/>
              </w:rPr>
              <w:t xml:space="preserve">disorder of </w:t>
            </w:r>
            <w:r w:rsidRPr="00185A3E">
              <w:t>calcium (ICD 10 code: E83.5) within</w:t>
            </w:r>
            <w:r w:rsidRPr="006037A8">
              <w:rPr>
                <w:lang w:eastAsia="en-GB"/>
              </w:rPr>
              <w:t xml:space="preserve"> </w:t>
            </w:r>
            <w:r>
              <w:rPr>
                <w:lang w:eastAsia="en-GB"/>
              </w:rPr>
              <w:t>24 months</w:t>
            </w:r>
            <w:r w:rsidRPr="006037A8">
              <w:rPr>
                <w:lang w:eastAsia="en-GB"/>
              </w:rPr>
              <w:t xml:space="preserve"> following a patient’</w:t>
            </w:r>
            <w:r>
              <w:rPr>
                <w:lang w:eastAsia="en-GB"/>
              </w:rPr>
              <w:t xml:space="preserve">s prevalent chronic hypoparathyroidism index </w:t>
            </w:r>
            <w:proofErr w:type="gramStart"/>
            <w:r>
              <w:rPr>
                <w:lang w:eastAsia="en-GB"/>
              </w:rPr>
              <w:t>date;</w:t>
            </w:r>
            <w:proofErr w:type="gramEnd"/>
          </w:p>
          <w:p w14:paraId="404ADC6F" w14:textId="6C150AAE" w:rsidR="006E148C" w:rsidRDefault="006E148C" w:rsidP="009E5DB6">
            <w:pPr>
              <w:pStyle w:val="BodyText"/>
              <w:numPr>
                <w:ilvl w:val="0"/>
                <w:numId w:val="20"/>
              </w:numPr>
              <w:rPr>
                <w:lang w:eastAsia="en-GB"/>
              </w:rPr>
            </w:pPr>
            <w:r>
              <w:rPr>
                <w:lang w:eastAsia="en-GB"/>
              </w:rPr>
              <w:t>the date of any ICD-10 p</w:t>
            </w:r>
            <w:r w:rsidRPr="009A2E09">
              <w:rPr>
                <w:lang w:eastAsia="en-GB"/>
              </w:rPr>
              <w:t xml:space="preserve">oorly controlled hypoparathyroidism </w:t>
            </w:r>
            <w:r>
              <w:rPr>
                <w:lang w:eastAsia="en-GB"/>
              </w:rPr>
              <w:t>diagnosis code (</w:t>
            </w:r>
            <w:r w:rsidR="00C70742">
              <w:rPr>
                <w:lang w:eastAsia="en-GB"/>
              </w:rPr>
              <w:t>Table 5</w:t>
            </w:r>
            <w:r>
              <w:rPr>
                <w:lang w:eastAsia="en-GB"/>
              </w:rPr>
              <w:fldChar w:fldCharType="begin"/>
            </w:r>
            <w:r>
              <w:rPr>
                <w:lang w:eastAsia="en-GB"/>
              </w:rPr>
              <w:instrText xml:space="preserve"> REF _Ref484166926 \h </w:instrText>
            </w:r>
            <w:r w:rsidR="00DC572B">
              <w:rPr>
                <w:lang w:eastAsia="en-GB"/>
              </w:rPr>
              <w:instrText xml:space="preserve"> \* MERGEFORMAT </w:instrText>
            </w:r>
            <w:r>
              <w:rPr>
                <w:lang w:eastAsia="en-GB"/>
              </w:rPr>
            </w:r>
            <w:r>
              <w:rPr>
                <w:lang w:eastAsia="en-GB"/>
              </w:rPr>
              <w:fldChar w:fldCharType="end"/>
            </w:r>
            <w:r>
              <w:rPr>
                <w:lang w:eastAsia="en-GB"/>
              </w:rPr>
              <w:t xml:space="preserve">) </w:t>
            </w:r>
            <w:r w:rsidRPr="006037A8">
              <w:rPr>
                <w:lang w:eastAsia="en-GB"/>
              </w:rPr>
              <w:t xml:space="preserve">within </w:t>
            </w:r>
            <w:r>
              <w:rPr>
                <w:lang w:eastAsia="en-GB"/>
              </w:rPr>
              <w:t>24 months</w:t>
            </w:r>
            <w:r w:rsidRPr="006037A8">
              <w:rPr>
                <w:lang w:eastAsia="en-GB"/>
              </w:rPr>
              <w:t xml:space="preserve"> following a patient’</w:t>
            </w:r>
            <w:r>
              <w:rPr>
                <w:lang w:eastAsia="en-GB"/>
              </w:rPr>
              <w:t xml:space="preserve">s prevalent chronic hypoparathyroidism index </w:t>
            </w:r>
            <w:proofErr w:type="gramStart"/>
            <w:r>
              <w:rPr>
                <w:lang w:eastAsia="en-GB"/>
              </w:rPr>
              <w:t>date;</w:t>
            </w:r>
            <w:proofErr w:type="gramEnd"/>
          </w:p>
          <w:p w14:paraId="12F7574F" w14:textId="7E4799D6" w:rsidR="006E148C" w:rsidRDefault="006E148C" w:rsidP="009E5DB6">
            <w:pPr>
              <w:pStyle w:val="BodyText"/>
              <w:numPr>
                <w:ilvl w:val="0"/>
                <w:numId w:val="20"/>
              </w:numPr>
              <w:rPr>
                <w:lang w:eastAsia="en-GB"/>
              </w:rPr>
            </w:pPr>
            <w:r>
              <w:rPr>
                <w:lang w:eastAsia="en-GB"/>
              </w:rPr>
              <w:t>the date of any ICD-9 p</w:t>
            </w:r>
            <w:r w:rsidRPr="009A2E09">
              <w:rPr>
                <w:lang w:eastAsia="en-GB"/>
              </w:rPr>
              <w:t xml:space="preserve">oorly controlled hypoparathyroidism </w:t>
            </w:r>
            <w:r>
              <w:rPr>
                <w:lang w:eastAsia="en-GB"/>
              </w:rPr>
              <w:t>diagnosis code (</w:t>
            </w:r>
            <w:r w:rsidR="00C70742">
              <w:rPr>
                <w:lang w:eastAsia="en-GB"/>
              </w:rPr>
              <w:t>Table 6</w:t>
            </w:r>
            <w:r>
              <w:rPr>
                <w:lang w:eastAsia="en-GB"/>
              </w:rPr>
              <w:fldChar w:fldCharType="begin"/>
            </w:r>
            <w:r>
              <w:rPr>
                <w:lang w:eastAsia="en-GB"/>
              </w:rPr>
              <w:instrText xml:space="preserve"> REF _Ref484166937 \h </w:instrText>
            </w:r>
            <w:r w:rsidR="00DC572B">
              <w:rPr>
                <w:lang w:eastAsia="en-GB"/>
              </w:rPr>
              <w:instrText xml:space="preserve"> \* MERGEFORMAT </w:instrText>
            </w:r>
            <w:r>
              <w:rPr>
                <w:lang w:eastAsia="en-GB"/>
              </w:rPr>
            </w:r>
            <w:r>
              <w:rPr>
                <w:lang w:eastAsia="en-GB"/>
              </w:rPr>
              <w:fldChar w:fldCharType="end"/>
            </w:r>
            <w:r>
              <w:rPr>
                <w:lang w:eastAsia="en-GB"/>
              </w:rPr>
              <w:t xml:space="preserve">) </w:t>
            </w:r>
            <w:r w:rsidRPr="006037A8">
              <w:rPr>
                <w:lang w:eastAsia="en-GB"/>
              </w:rPr>
              <w:t xml:space="preserve">within </w:t>
            </w:r>
            <w:r>
              <w:rPr>
                <w:lang w:eastAsia="en-GB"/>
              </w:rPr>
              <w:t>24 months</w:t>
            </w:r>
            <w:r w:rsidRPr="006037A8">
              <w:rPr>
                <w:lang w:eastAsia="en-GB"/>
              </w:rPr>
              <w:t xml:space="preserve"> following a patient’</w:t>
            </w:r>
            <w:r>
              <w:rPr>
                <w:lang w:eastAsia="en-GB"/>
              </w:rPr>
              <w:t>s prevalent chronic hypoparathyroidism index date.</w:t>
            </w:r>
          </w:p>
          <w:p w14:paraId="785289C3" w14:textId="77777777" w:rsidR="00FF0D5A" w:rsidRDefault="00FF0D5A" w:rsidP="00DC572B">
            <w:pPr>
              <w:rPr>
                <w:b/>
                <w:bCs/>
              </w:rPr>
            </w:pPr>
          </w:p>
          <w:p w14:paraId="3074E406" w14:textId="64FEB7C9" w:rsidR="00340F51" w:rsidRPr="00340F51" w:rsidRDefault="006E148C" w:rsidP="00DC572B">
            <w:pPr>
              <w:rPr>
                <w:b/>
                <w:bCs/>
              </w:rPr>
            </w:pPr>
            <w:r>
              <w:rPr>
                <w:b/>
                <w:bCs/>
              </w:rPr>
              <w:t>Control Cohort (matched)</w:t>
            </w:r>
            <w:r w:rsidR="00340F51" w:rsidRPr="00340F51">
              <w:rPr>
                <w:b/>
                <w:bCs/>
              </w:rPr>
              <w:t>: Residents of Ontario without evidence of hypoparathyroidism.</w:t>
            </w:r>
          </w:p>
          <w:p w14:paraId="6D0429E8" w14:textId="54D637B1" w:rsidR="00340F51" w:rsidRDefault="00340F51" w:rsidP="00DC572B">
            <w:pPr>
              <w:pStyle w:val="BodyText"/>
              <w:rPr>
                <w:lang w:eastAsia="en-GB"/>
              </w:rPr>
            </w:pPr>
            <w:r>
              <w:rPr>
                <w:lang w:eastAsia="en-GB"/>
              </w:rPr>
              <w:t>Each adult chronic h</w:t>
            </w:r>
            <w:r w:rsidRPr="00C329C4">
              <w:rPr>
                <w:lang w:eastAsia="en-GB"/>
              </w:rPr>
              <w:t>ypoparathyroidism</w:t>
            </w:r>
            <w:r>
              <w:rPr>
                <w:lang w:eastAsia="en-GB"/>
              </w:rPr>
              <w:t xml:space="preserve"> and poorly controlled h</w:t>
            </w:r>
            <w:r w:rsidRPr="00C329C4">
              <w:rPr>
                <w:lang w:eastAsia="en-GB"/>
              </w:rPr>
              <w:t>ypoparathyroidism</w:t>
            </w:r>
            <w:r w:rsidRPr="003D73E0">
              <w:rPr>
                <w:lang w:eastAsia="en-GB"/>
              </w:rPr>
              <w:t xml:space="preserve"> </w:t>
            </w:r>
            <w:r>
              <w:rPr>
                <w:lang w:eastAsia="en-GB"/>
              </w:rPr>
              <w:t>patient will be</w:t>
            </w:r>
            <w:r w:rsidRPr="003D73E0">
              <w:rPr>
                <w:lang w:eastAsia="en-GB"/>
              </w:rPr>
              <w:t xml:space="preserve"> matched </w:t>
            </w:r>
            <w:r>
              <w:rPr>
                <w:lang w:eastAsia="en-GB"/>
              </w:rPr>
              <w:t xml:space="preserve">with </w:t>
            </w:r>
            <w:r w:rsidRPr="003D73E0">
              <w:rPr>
                <w:lang w:eastAsia="en-GB"/>
              </w:rPr>
              <w:t xml:space="preserve">to up to 4 </w:t>
            </w:r>
            <w:r>
              <w:rPr>
                <w:lang w:eastAsia="en-GB"/>
              </w:rPr>
              <w:t>adult patients</w:t>
            </w:r>
            <w:r w:rsidRPr="003D73E0">
              <w:rPr>
                <w:lang w:eastAsia="en-GB"/>
              </w:rPr>
              <w:t xml:space="preserve"> without </w:t>
            </w:r>
            <w:r>
              <w:rPr>
                <w:lang w:eastAsia="en-GB"/>
              </w:rPr>
              <w:t>evidence of h</w:t>
            </w:r>
            <w:r w:rsidRPr="00C329C4">
              <w:rPr>
                <w:lang w:eastAsia="en-GB"/>
              </w:rPr>
              <w:t>ypoparathyroidism</w:t>
            </w:r>
            <w:r w:rsidR="006E148C">
              <w:rPr>
                <w:lang w:eastAsia="en-GB"/>
              </w:rPr>
              <w:t xml:space="preserve"> </w:t>
            </w:r>
            <w:r w:rsidRPr="003D73E0">
              <w:rPr>
                <w:lang w:eastAsia="en-GB"/>
              </w:rPr>
              <w:t>based on the</w:t>
            </w:r>
            <w:r>
              <w:rPr>
                <w:lang w:eastAsia="en-GB"/>
              </w:rPr>
              <w:t xml:space="preserve"> following three variables:</w:t>
            </w:r>
          </w:p>
          <w:p w14:paraId="53C8952D" w14:textId="77777777" w:rsidR="00340F51" w:rsidRDefault="00340F51" w:rsidP="009E5DB6">
            <w:pPr>
              <w:pStyle w:val="BodyText"/>
              <w:numPr>
                <w:ilvl w:val="0"/>
                <w:numId w:val="8"/>
              </w:numPr>
              <w:rPr>
                <w:lang w:eastAsia="en-GB"/>
              </w:rPr>
            </w:pPr>
            <w:r>
              <w:rPr>
                <w:lang w:eastAsia="en-GB"/>
              </w:rPr>
              <w:t>Age (year</w:t>
            </w:r>
            <w:proofErr w:type="gramStart"/>
            <w:r>
              <w:rPr>
                <w:lang w:eastAsia="en-GB"/>
              </w:rPr>
              <w:t>);</w:t>
            </w:r>
            <w:proofErr w:type="gramEnd"/>
            <w:r>
              <w:rPr>
                <w:lang w:eastAsia="en-GB"/>
              </w:rPr>
              <w:t xml:space="preserve"> </w:t>
            </w:r>
          </w:p>
          <w:p w14:paraId="510FCEC4" w14:textId="77777777" w:rsidR="00340F51" w:rsidRDefault="00340F51" w:rsidP="009E5DB6">
            <w:pPr>
              <w:pStyle w:val="BodyText"/>
              <w:numPr>
                <w:ilvl w:val="0"/>
                <w:numId w:val="8"/>
              </w:numPr>
              <w:rPr>
                <w:lang w:eastAsia="en-GB"/>
              </w:rPr>
            </w:pPr>
            <w:r w:rsidRPr="003D73E0">
              <w:rPr>
                <w:lang w:eastAsia="en-GB"/>
              </w:rPr>
              <w:t>Sex</w:t>
            </w:r>
            <w:r>
              <w:rPr>
                <w:lang w:eastAsia="en-GB"/>
              </w:rPr>
              <w:t xml:space="preserve"> (male, female)</w:t>
            </w:r>
            <w:r w:rsidRPr="003D73E0">
              <w:rPr>
                <w:lang w:eastAsia="en-GB"/>
              </w:rPr>
              <w:t xml:space="preserve"> </w:t>
            </w:r>
            <w:r>
              <w:rPr>
                <w:lang w:eastAsia="en-GB"/>
              </w:rPr>
              <w:t>and</w:t>
            </w:r>
          </w:p>
          <w:p w14:paraId="6AD47166" w14:textId="77777777" w:rsidR="00340F51" w:rsidRDefault="00340F51" w:rsidP="009E5DB6">
            <w:pPr>
              <w:pStyle w:val="BodyText"/>
              <w:numPr>
                <w:ilvl w:val="0"/>
                <w:numId w:val="8"/>
              </w:numPr>
              <w:rPr>
                <w:lang w:eastAsia="en-GB"/>
              </w:rPr>
            </w:pPr>
            <w:r>
              <w:rPr>
                <w:lang w:eastAsia="en-GB"/>
              </w:rPr>
              <w:t>CCI category (missing, low, moderate, high, very high).</w:t>
            </w:r>
          </w:p>
          <w:p w14:paraId="5E5C29A2" w14:textId="77777777" w:rsidR="006E148C" w:rsidRDefault="00B11F10" w:rsidP="00DC572B">
            <w:pPr>
              <w:pStyle w:val="BodyText"/>
              <w:rPr>
                <w:lang w:eastAsia="en-GB"/>
              </w:rPr>
            </w:pPr>
            <w:r w:rsidRPr="003D73E0">
              <w:rPr>
                <w:lang w:eastAsia="en-GB"/>
              </w:rPr>
              <w:t xml:space="preserve">In addition </w:t>
            </w:r>
            <w:r>
              <w:rPr>
                <w:lang w:eastAsia="en-GB"/>
              </w:rPr>
              <w:t>to these matching variables,</w:t>
            </w:r>
            <w:r w:rsidRPr="003D73E0">
              <w:rPr>
                <w:lang w:eastAsia="en-GB"/>
              </w:rPr>
              <w:t xml:space="preserve"> </w:t>
            </w:r>
            <w:r>
              <w:rPr>
                <w:lang w:eastAsia="en-GB"/>
              </w:rPr>
              <w:t>adult patients</w:t>
            </w:r>
            <w:r w:rsidRPr="003D73E0">
              <w:rPr>
                <w:lang w:eastAsia="en-GB"/>
              </w:rPr>
              <w:t xml:space="preserve"> without </w:t>
            </w:r>
            <w:r>
              <w:rPr>
                <w:lang w:eastAsia="en-GB"/>
              </w:rPr>
              <w:t>h</w:t>
            </w:r>
            <w:r w:rsidRPr="00C329C4">
              <w:rPr>
                <w:lang w:eastAsia="en-GB"/>
              </w:rPr>
              <w:t>ypoparathyroidism</w:t>
            </w:r>
            <w:r w:rsidRPr="003D73E0">
              <w:rPr>
                <w:lang w:eastAsia="en-GB"/>
              </w:rPr>
              <w:t xml:space="preserve"> </w:t>
            </w:r>
            <w:r>
              <w:rPr>
                <w:lang w:eastAsia="en-GB"/>
              </w:rPr>
              <w:t>must</w:t>
            </w:r>
            <w:r w:rsidRPr="003D73E0">
              <w:rPr>
                <w:lang w:eastAsia="en-GB"/>
              </w:rPr>
              <w:t xml:space="preserve"> have had a </w:t>
            </w:r>
            <w:r>
              <w:rPr>
                <w:lang w:eastAsia="en-GB"/>
              </w:rPr>
              <w:t xml:space="preserve">hospital </w:t>
            </w:r>
            <w:r w:rsidRPr="003D73E0">
              <w:rPr>
                <w:lang w:eastAsia="en-GB"/>
              </w:rPr>
              <w:t>visit</w:t>
            </w:r>
            <w:r>
              <w:rPr>
                <w:lang w:eastAsia="en-GB"/>
              </w:rPr>
              <w:t xml:space="preserve"> within 30 days of h</w:t>
            </w:r>
            <w:r w:rsidRPr="00C329C4">
              <w:rPr>
                <w:lang w:eastAsia="en-GB"/>
              </w:rPr>
              <w:t>ypoparathyroidism</w:t>
            </w:r>
            <w:r w:rsidRPr="003D73E0">
              <w:rPr>
                <w:lang w:eastAsia="en-GB"/>
              </w:rPr>
              <w:t xml:space="preserve"> patient</w:t>
            </w:r>
            <w:r>
              <w:rPr>
                <w:lang w:eastAsia="en-GB"/>
              </w:rPr>
              <w:t>’s</w:t>
            </w:r>
            <w:r w:rsidRPr="003D73E0">
              <w:rPr>
                <w:lang w:eastAsia="en-GB"/>
              </w:rPr>
              <w:t xml:space="preserve"> </w:t>
            </w:r>
            <w:r>
              <w:rPr>
                <w:lang w:eastAsia="en-GB"/>
              </w:rPr>
              <w:t xml:space="preserve">chronic or poorly controlled </w:t>
            </w:r>
            <w:r w:rsidRPr="003D73E0">
              <w:rPr>
                <w:lang w:eastAsia="en-GB"/>
              </w:rPr>
              <w:t>index date</w:t>
            </w:r>
            <w:r>
              <w:rPr>
                <w:lang w:eastAsia="en-GB"/>
              </w:rPr>
              <w:t xml:space="preserve">. </w:t>
            </w:r>
            <w:r w:rsidRPr="003D73E0">
              <w:rPr>
                <w:lang w:eastAsia="en-GB"/>
              </w:rPr>
              <w:t xml:space="preserve">If the 30 day window is too small to find an exact match for all </w:t>
            </w:r>
            <w:r>
              <w:rPr>
                <w:lang w:eastAsia="en-GB"/>
              </w:rPr>
              <w:t>adult chronic h</w:t>
            </w:r>
            <w:r w:rsidRPr="00C329C4">
              <w:rPr>
                <w:lang w:eastAsia="en-GB"/>
              </w:rPr>
              <w:t>ypoparathyroidism</w:t>
            </w:r>
            <w:r>
              <w:rPr>
                <w:lang w:eastAsia="en-GB"/>
              </w:rPr>
              <w:t xml:space="preserve"> and poorly controlled h</w:t>
            </w:r>
            <w:r w:rsidRPr="00C329C4">
              <w:rPr>
                <w:lang w:eastAsia="en-GB"/>
              </w:rPr>
              <w:t>ypoparathyroidism</w:t>
            </w:r>
            <w:r w:rsidRPr="003D73E0">
              <w:rPr>
                <w:lang w:eastAsia="en-GB"/>
              </w:rPr>
              <w:t xml:space="preserve"> </w:t>
            </w:r>
            <w:r>
              <w:rPr>
                <w:lang w:eastAsia="en-GB"/>
              </w:rPr>
              <w:t>patients</w:t>
            </w:r>
            <w:r w:rsidRPr="003D73E0">
              <w:rPr>
                <w:lang w:eastAsia="en-GB"/>
              </w:rPr>
              <w:t>, then we will increase the time window incrementally, e.g. +/- 60 days or +/-90 days, until we have</w:t>
            </w:r>
            <w:r>
              <w:rPr>
                <w:lang w:eastAsia="en-GB"/>
              </w:rPr>
              <w:t xml:space="preserve"> 2-4 </w:t>
            </w:r>
            <w:r w:rsidRPr="003D73E0">
              <w:rPr>
                <w:lang w:eastAsia="en-GB"/>
              </w:rPr>
              <w:t xml:space="preserve">matches for all </w:t>
            </w:r>
            <w:r>
              <w:rPr>
                <w:lang w:eastAsia="en-GB"/>
              </w:rPr>
              <w:t>adult chronic h</w:t>
            </w:r>
            <w:r w:rsidRPr="00C329C4">
              <w:rPr>
                <w:lang w:eastAsia="en-GB"/>
              </w:rPr>
              <w:t>ypoparathyroidism</w:t>
            </w:r>
            <w:r>
              <w:rPr>
                <w:lang w:eastAsia="en-GB"/>
              </w:rPr>
              <w:t xml:space="preserve"> and poorly controlled h</w:t>
            </w:r>
            <w:r w:rsidRPr="00C329C4">
              <w:rPr>
                <w:lang w:eastAsia="en-GB"/>
              </w:rPr>
              <w:t>ypoparathyroidism</w:t>
            </w:r>
            <w:r w:rsidRPr="003D73E0">
              <w:rPr>
                <w:lang w:eastAsia="en-GB"/>
              </w:rPr>
              <w:t xml:space="preserve"> patients</w:t>
            </w:r>
            <w:bookmarkStart w:id="4" w:name="_Toc486318267"/>
            <w:bookmarkStart w:id="5" w:name="_Toc502165524"/>
          </w:p>
          <w:p w14:paraId="3474ECE9" w14:textId="77777777" w:rsidR="006E148C" w:rsidRDefault="006E148C" w:rsidP="00DC572B">
            <w:pPr>
              <w:pStyle w:val="BodyText"/>
              <w:rPr>
                <w:lang w:eastAsia="en-GB"/>
              </w:rPr>
            </w:pPr>
          </w:p>
          <w:bookmarkEnd w:id="4"/>
          <w:bookmarkEnd w:id="5"/>
          <w:p w14:paraId="2433EC6D" w14:textId="6236544D" w:rsidR="00340DBF" w:rsidRPr="006E148C" w:rsidRDefault="006E148C" w:rsidP="00DC572B">
            <w:pPr>
              <w:pStyle w:val="BodyText"/>
              <w:rPr>
                <w:u w:val="single"/>
                <w:lang w:eastAsia="en-GB"/>
              </w:rPr>
            </w:pPr>
            <w:r w:rsidRPr="006E148C">
              <w:rPr>
                <w:u w:val="single"/>
                <w:lang w:eastAsia="en-GB"/>
              </w:rPr>
              <w:t>Index date for Controls:</w:t>
            </w:r>
          </w:p>
          <w:p w14:paraId="1AB28546" w14:textId="77777777" w:rsidR="00340DBF" w:rsidRDefault="00340DBF" w:rsidP="00DC572B">
            <w:pPr>
              <w:pStyle w:val="BodyText"/>
              <w:rPr>
                <w:lang w:eastAsia="en-GB"/>
              </w:rPr>
            </w:pPr>
            <w:r>
              <w:rPr>
                <w:lang w:eastAsia="en-GB"/>
              </w:rPr>
              <w:t xml:space="preserve">The date of the start of the secondary care (including same day surgery, clinic </w:t>
            </w:r>
            <w:proofErr w:type="spellStart"/>
            <w:r>
              <w:rPr>
                <w:lang w:eastAsia="en-GB"/>
              </w:rPr>
              <w:t>etc</w:t>
            </w:r>
            <w:proofErr w:type="spellEnd"/>
            <w:r>
              <w:rPr>
                <w:lang w:eastAsia="en-GB"/>
              </w:rPr>
              <w:t xml:space="preserve">) </w:t>
            </w:r>
            <w:r w:rsidRPr="003D73E0">
              <w:rPr>
                <w:lang w:eastAsia="en-GB"/>
              </w:rPr>
              <w:t>visit</w:t>
            </w:r>
            <w:r>
              <w:rPr>
                <w:lang w:eastAsia="en-GB"/>
              </w:rPr>
              <w:t xml:space="preserve"> within 30 days (or longer if needs be</w:t>
            </w:r>
            <w:r w:rsidR="00B53EC0">
              <w:rPr>
                <w:lang w:eastAsia="en-GB"/>
              </w:rPr>
              <w:t xml:space="preserve"> as described above</w:t>
            </w:r>
            <w:r>
              <w:rPr>
                <w:lang w:eastAsia="en-GB"/>
              </w:rPr>
              <w:t>) of the adult h</w:t>
            </w:r>
            <w:r w:rsidRPr="00C329C4">
              <w:rPr>
                <w:lang w:eastAsia="en-GB"/>
              </w:rPr>
              <w:t>ypoparathyroidism</w:t>
            </w:r>
            <w:r w:rsidRPr="003D73E0">
              <w:rPr>
                <w:lang w:eastAsia="en-GB"/>
              </w:rPr>
              <w:t xml:space="preserve"> patient</w:t>
            </w:r>
            <w:r>
              <w:rPr>
                <w:lang w:eastAsia="en-GB"/>
              </w:rPr>
              <w:t>’s</w:t>
            </w:r>
            <w:r w:rsidRPr="003D73E0">
              <w:rPr>
                <w:lang w:eastAsia="en-GB"/>
              </w:rPr>
              <w:t xml:space="preserve"> index date</w:t>
            </w:r>
            <w:r>
              <w:rPr>
                <w:lang w:eastAsia="en-GB"/>
              </w:rPr>
              <w:t xml:space="preserve"> to which the non-h</w:t>
            </w:r>
            <w:r w:rsidRPr="00C329C4">
              <w:rPr>
                <w:lang w:eastAsia="en-GB"/>
              </w:rPr>
              <w:t>ypoparathyroidism</w:t>
            </w:r>
            <w:r>
              <w:rPr>
                <w:lang w:eastAsia="en-GB"/>
              </w:rPr>
              <w:t xml:space="preserve"> patient has been matched.</w:t>
            </w:r>
            <w:r w:rsidDel="00FD7802">
              <w:rPr>
                <w:lang w:eastAsia="en-GB"/>
              </w:rPr>
              <w:t xml:space="preserve"> </w:t>
            </w:r>
          </w:p>
          <w:p w14:paraId="058942EA" w14:textId="2FCB0604" w:rsidR="00B53EC0" w:rsidRDefault="00B53EC0" w:rsidP="00DC572B">
            <w:pPr>
              <w:pStyle w:val="BodyText"/>
              <w:rPr>
                <w:lang w:eastAsia="en-GB"/>
              </w:rPr>
            </w:pPr>
          </w:p>
        </w:tc>
      </w:tr>
      <w:tr w:rsidR="00F504D9" w14:paraId="7E16F3F2" w14:textId="77777777" w:rsidTr="00E63293">
        <w:trPr>
          <w:trHeight w:val="227"/>
        </w:trPr>
        <w:tc>
          <w:tcPr>
            <w:tcW w:w="2625" w:type="dxa"/>
            <w:tcBorders>
              <w:right w:val="single" w:sz="4" w:space="0" w:color="A6A6A6" w:themeColor="background1" w:themeShade="A6"/>
            </w:tcBorders>
            <w:noWrap/>
            <w:tcMar>
              <w:top w:w="15" w:type="dxa"/>
              <w:left w:w="15" w:type="dxa"/>
              <w:bottom w:w="0" w:type="dxa"/>
              <w:right w:w="15" w:type="dxa"/>
            </w:tcMar>
          </w:tcPr>
          <w:p w14:paraId="63A20BB5" w14:textId="77777777" w:rsidR="00E63293" w:rsidRDefault="00F504D9" w:rsidP="009F2A6B">
            <w:pPr>
              <w:rPr>
                <w:b/>
              </w:rPr>
            </w:pPr>
            <w:r>
              <w:rPr>
                <w:b/>
              </w:rPr>
              <w:lastRenderedPageBreak/>
              <w:t>Estimated Size of Cohort</w:t>
            </w:r>
            <w:r w:rsidR="009F2F17">
              <w:rPr>
                <w:b/>
              </w:rPr>
              <w:t xml:space="preserve"> </w:t>
            </w:r>
          </w:p>
          <w:p w14:paraId="01B9AE13" w14:textId="5F09B2F8" w:rsidR="00F504D9" w:rsidRDefault="00F504D9" w:rsidP="009F2A6B">
            <w:pPr>
              <w:rPr>
                <w:b/>
              </w:rPr>
            </w:pPr>
          </w:p>
        </w:tc>
        <w:tc>
          <w:tcPr>
            <w:tcW w:w="7470" w:type="dxa"/>
            <w:gridSpan w:val="2"/>
            <w:tcBorders>
              <w:top w:val="single" w:sz="4" w:space="0" w:color="auto"/>
              <w:left w:val="single" w:sz="4" w:space="0" w:color="A6A6A6" w:themeColor="background1" w:themeShade="A6"/>
              <w:bottom w:val="single" w:sz="12" w:space="0" w:color="969696"/>
            </w:tcBorders>
            <w:noWrap/>
            <w:tcMar>
              <w:top w:w="15" w:type="dxa"/>
              <w:left w:w="15" w:type="dxa"/>
              <w:bottom w:w="0" w:type="dxa"/>
              <w:right w:w="15" w:type="dxa"/>
            </w:tcMar>
            <w:vAlign w:val="center"/>
          </w:tcPr>
          <w:p w14:paraId="4B57B065" w14:textId="49E2173E" w:rsidR="00F504D9" w:rsidRPr="00874E72" w:rsidRDefault="00F504D9" w:rsidP="00A94329">
            <w:pPr>
              <w:jc w:val="both"/>
            </w:pPr>
          </w:p>
        </w:tc>
      </w:tr>
      <w:tr w:rsidR="00F504D9" w14:paraId="63ED9982" w14:textId="77777777" w:rsidTr="00E63293">
        <w:trPr>
          <w:trHeight w:val="227"/>
        </w:trPr>
        <w:tc>
          <w:tcPr>
            <w:tcW w:w="2625" w:type="dxa"/>
            <w:vMerge w:val="restart"/>
            <w:tcBorders>
              <w:right w:val="single" w:sz="4" w:space="0" w:color="A6A6A6" w:themeColor="background1" w:themeShade="A6"/>
            </w:tcBorders>
            <w:noWrap/>
            <w:tcMar>
              <w:top w:w="15" w:type="dxa"/>
              <w:left w:w="15" w:type="dxa"/>
              <w:bottom w:w="0" w:type="dxa"/>
              <w:right w:w="15" w:type="dxa"/>
            </w:tcMar>
          </w:tcPr>
          <w:p w14:paraId="51999947" w14:textId="22D35EAD" w:rsidR="00F504D9" w:rsidRPr="005D20F3" w:rsidRDefault="00F504D9" w:rsidP="009F2A6B">
            <w:pPr>
              <w:rPr>
                <w:b/>
              </w:rPr>
            </w:pPr>
            <w:r>
              <w:rPr>
                <w:b/>
              </w:rPr>
              <w:t>Excl</w:t>
            </w:r>
            <w:r w:rsidRPr="005D20F3">
              <w:rPr>
                <w:b/>
              </w:rPr>
              <w:t>usions</w:t>
            </w:r>
            <w:r>
              <w:rPr>
                <w:b/>
              </w:rPr>
              <w:t xml:space="preserve"> </w:t>
            </w:r>
            <w:r w:rsidRPr="006E7F65">
              <w:rPr>
                <w:i/>
              </w:rPr>
              <w:t>(in order)</w:t>
            </w:r>
            <w:r w:rsidR="00AB19D5">
              <w:rPr>
                <w:i/>
              </w:rPr>
              <w:t xml:space="preserve"> </w:t>
            </w:r>
            <w:r w:rsidR="00AB19D5">
              <w:rPr>
                <w:i/>
              </w:rPr>
              <w:br/>
              <w:t>(common exclusions are listed in grey italics for consideration)</w:t>
            </w:r>
          </w:p>
        </w:tc>
        <w:tc>
          <w:tcPr>
            <w:tcW w:w="993" w:type="dxa"/>
            <w:tcBorders>
              <w:top w:val="single" w:sz="4" w:space="0" w:color="auto"/>
              <w:left w:val="single" w:sz="4" w:space="0" w:color="A6A6A6" w:themeColor="background1" w:themeShade="A6"/>
              <w:bottom w:val="single" w:sz="12" w:space="0" w:color="969696"/>
            </w:tcBorders>
            <w:noWrap/>
            <w:tcMar>
              <w:top w:w="15" w:type="dxa"/>
              <w:left w:w="15" w:type="dxa"/>
              <w:bottom w:w="0" w:type="dxa"/>
              <w:right w:w="15" w:type="dxa"/>
            </w:tcMar>
            <w:vAlign w:val="center"/>
          </w:tcPr>
          <w:p w14:paraId="0C9A1722" w14:textId="77777777" w:rsidR="00F504D9" w:rsidRPr="008C383E" w:rsidRDefault="00F504D9" w:rsidP="009F2A6B">
            <w:pPr>
              <w:jc w:val="center"/>
              <w:rPr>
                <w:i/>
              </w:rPr>
            </w:pPr>
            <w:r w:rsidRPr="008C383E">
              <w:rPr>
                <w:i/>
              </w:rPr>
              <w:t>Step</w:t>
            </w:r>
          </w:p>
        </w:tc>
        <w:tc>
          <w:tcPr>
            <w:tcW w:w="6477" w:type="dxa"/>
            <w:tcBorders>
              <w:top w:val="single" w:sz="4" w:space="0" w:color="auto"/>
              <w:bottom w:val="single" w:sz="12" w:space="0" w:color="969696"/>
            </w:tcBorders>
            <w:vAlign w:val="center"/>
          </w:tcPr>
          <w:p w14:paraId="0E761AC4" w14:textId="77777777" w:rsidR="00F504D9" w:rsidRPr="008C383E" w:rsidRDefault="00F504D9" w:rsidP="009F2A6B">
            <w:pPr>
              <w:jc w:val="both"/>
              <w:rPr>
                <w:i/>
              </w:rPr>
            </w:pPr>
            <w:r w:rsidRPr="00874E72">
              <w:t>Description</w:t>
            </w:r>
          </w:p>
        </w:tc>
      </w:tr>
      <w:tr w:rsidR="00F504D9" w14:paraId="35098356" w14:textId="77777777" w:rsidTr="00E63293">
        <w:trPr>
          <w:trHeight w:val="227"/>
        </w:trPr>
        <w:tc>
          <w:tcPr>
            <w:tcW w:w="2625" w:type="dxa"/>
            <w:vMerge/>
            <w:tcBorders>
              <w:right w:val="single" w:sz="4" w:space="0" w:color="A6A6A6" w:themeColor="background1" w:themeShade="A6"/>
            </w:tcBorders>
            <w:noWrap/>
            <w:tcMar>
              <w:top w:w="15" w:type="dxa"/>
              <w:left w:w="15" w:type="dxa"/>
              <w:bottom w:w="0" w:type="dxa"/>
              <w:right w:w="15" w:type="dxa"/>
            </w:tcMar>
          </w:tcPr>
          <w:p w14:paraId="2D26F4EF" w14:textId="77777777" w:rsidR="00F504D9" w:rsidRDefault="00F504D9" w:rsidP="009F2A6B"/>
        </w:tc>
        <w:tc>
          <w:tcPr>
            <w:tcW w:w="993" w:type="dxa"/>
            <w:tcBorders>
              <w:top w:val="single" w:sz="12" w:space="0" w:color="969696"/>
              <w:left w:val="single" w:sz="4" w:space="0" w:color="A6A6A6" w:themeColor="background1" w:themeShade="A6"/>
              <w:bottom w:val="single" w:sz="4" w:space="0" w:color="969696"/>
            </w:tcBorders>
            <w:noWrap/>
            <w:tcMar>
              <w:top w:w="15" w:type="dxa"/>
              <w:left w:w="15" w:type="dxa"/>
              <w:bottom w:w="0" w:type="dxa"/>
              <w:right w:w="15" w:type="dxa"/>
            </w:tcMar>
          </w:tcPr>
          <w:p w14:paraId="4A8F2D18" w14:textId="77777777" w:rsidR="00F504D9" w:rsidRPr="00296513" w:rsidRDefault="00F504D9" w:rsidP="009F2A6B">
            <w:pPr>
              <w:spacing w:before="60" w:after="60"/>
              <w:jc w:val="center"/>
            </w:pPr>
            <w:r>
              <w:t>1</w:t>
            </w:r>
          </w:p>
        </w:tc>
        <w:tc>
          <w:tcPr>
            <w:tcW w:w="6477" w:type="dxa"/>
            <w:tcBorders>
              <w:top w:val="single" w:sz="12" w:space="0" w:color="969696"/>
              <w:bottom w:val="single" w:sz="4" w:space="0" w:color="969696"/>
            </w:tcBorders>
          </w:tcPr>
          <w:p w14:paraId="71C1DB5D" w14:textId="665CE6A6" w:rsidR="00F504D9" w:rsidRPr="008F76C5" w:rsidRDefault="00AB19D5" w:rsidP="009F2A6B">
            <w:pPr>
              <w:spacing w:before="60" w:after="60"/>
              <w:rPr>
                <w:iCs/>
              </w:rPr>
            </w:pPr>
            <w:r w:rsidRPr="008F76C5">
              <w:rPr>
                <w:iCs/>
              </w:rPr>
              <w:t>Invalid IKN</w:t>
            </w:r>
          </w:p>
        </w:tc>
      </w:tr>
      <w:tr w:rsidR="00F504D9" w14:paraId="5909E1DA" w14:textId="77777777" w:rsidTr="00E63293">
        <w:trPr>
          <w:trHeight w:val="227"/>
        </w:trPr>
        <w:tc>
          <w:tcPr>
            <w:tcW w:w="2625" w:type="dxa"/>
            <w:vMerge/>
            <w:tcBorders>
              <w:right w:val="single" w:sz="4" w:space="0" w:color="A6A6A6" w:themeColor="background1" w:themeShade="A6"/>
            </w:tcBorders>
            <w:noWrap/>
            <w:tcMar>
              <w:top w:w="15" w:type="dxa"/>
              <w:left w:w="15" w:type="dxa"/>
              <w:bottom w:w="0" w:type="dxa"/>
              <w:right w:w="15" w:type="dxa"/>
            </w:tcMar>
          </w:tcPr>
          <w:p w14:paraId="49003A28" w14:textId="77777777" w:rsidR="00F504D9" w:rsidRDefault="00F504D9" w:rsidP="009F2A6B"/>
        </w:tc>
        <w:tc>
          <w:tcPr>
            <w:tcW w:w="993" w:type="dxa"/>
            <w:tcBorders>
              <w:top w:val="single" w:sz="4" w:space="0" w:color="969696"/>
              <w:left w:val="single" w:sz="4" w:space="0" w:color="A6A6A6" w:themeColor="background1" w:themeShade="A6"/>
              <w:bottom w:val="single" w:sz="4" w:space="0" w:color="969696"/>
            </w:tcBorders>
            <w:noWrap/>
            <w:tcMar>
              <w:top w:w="15" w:type="dxa"/>
              <w:left w:w="15" w:type="dxa"/>
              <w:bottom w:w="0" w:type="dxa"/>
              <w:right w:w="15" w:type="dxa"/>
            </w:tcMar>
          </w:tcPr>
          <w:p w14:paraId="28C3E80D" w14:textId="77777777" w:rsidR="00F504D9" w:rsidRDefault="00F504D9" w:rsidP="009F2A6B">
            <w:pPr>
              <w:spacing w:before="60" w:after="60"/>
              <w:jc w:val="center"/>
            </w:pPr>
            <w:r>
              <w:t>2</w:t>
            </w:r>
          </w:p>
        </w:tc>
        <w:tc>
          <w:tcPr>
            <w:tcW w:w="6477" w:type="dxa"/>
            <w:tcBorders>
              <w:top w:val="single" w:sz="4" w:space="0" w:color="969696"/>
              <w:bottom w:val="single" w:sz="4" w:space="0" w:color="969696"/>
            </w:tcBorders>
          </w:tcPr>
          <w:p w14:paraId="7EA9F430" w14:textId="5DEDD02D" w:rsidR="00F504D9" w:rsidRPr="008F76C5" w:rsidRDefault="00E4323E" w:rsidP="009F2A6B">
            <w:pPr>
              <w:spacing w:before="60" w:after="60"/>
              <w:rPr>
                <w:iCs/>
              </w:rPr>
            </w:pPr>
            <w:r>
              <w:rPr>
                <w:iCs/>
              </w:rPr>
              <w:t>I</w:t>
            </w:r>
            <w:r w:rsidR="00AB19D5" w:rsidRPr="008F76C5">
              <w:rPr>
                <w:iCs/>
              </w:rPr>
              <w:t>nvalid birth date</w:t>
            </w:r>
            <w:r>
              <w:rPr>
                <w:iCs/>
              </w:rPr>
              <w:t xml:space="preserve"> </w:t>
            </w:r>
            <w:r w:rsidR="00AB19D5" w:rsidRPr="008F76C5">
              <w:rPr>
                <w:iCs/>
              </w:rPr>
              <w:t xml:space="preserve">(missing or after index date), Invalid death date (before index date), </w:t>
            </w:r>
            <w:r>
              <w:rPr>
                <w:iCs/>
              </w:rPr>
              <w:t xml:space="preserve">or </w:t>
            </w:r>
            <w:r w:rsidR="00AB19D5" w:rsidRPr="008F76C5">
              <w:rPr>
                <w:iCs/>
              </w:rPr>
              <w:t>Invalid gender</w:t>
            </w:r>
            <w:r>
              <w:rPr>
                <w:iCs/>
              </w:rPr>
              <w:t xml:space="preserve"> from RPDB</w:t>
            </w:r>
          </w:p>
        </w:tc>
      </w:tr>
      <w:tr w:rsidR="00E4323E" w14:paraId="0E95449A" w14:textId="77777777" w:rsidTr="00E63293">
        <w:trPr>
          <w:trHeight w:val="227"/>
        </w:trPr>
        <w:tc>
          <w:tcPr>
            <w:tcW w:w="2625" w:type="dxa"/>
            <w:vMerge/>
            <w:tcBorders>
              <w:right w:val="single" w:sz="4" w:space="0" w:color="A6A6A6" w:themeColor="background1" w:themeShade="A6"/>
            </w:tcBorders>
            <w:noWrap/>
            <w:tcMar>
              <w:top w:w="15" w:type="dxa"/>
              <w:left w:w="15" w:type="dxa"/>
              <w:bottom w:w="0" w:type="dxa"/>
              <w:right w:w="15" w:type="dxa"/>
            </w:tcMar>
          </w:tcPr>
          <w:p w14:paraId="4AB4988E" w14:textId="77777777" w:rsidR="00E4323E" w:rsidRDefault="00E4323E" w:rsidP="00E4323E"/>
        </w:tc>
        <w:tc>
          <w:tcPr>
            <w:tcW w:w="993" w:type="dxa"/>
            <w:tcBorders>
              <w:top w:val="single" w:sz="4" w:space="0" w:color="969696"/>
              <w:left w:val="single" w:sz="4" w:space="0" w:color="A6A6A6" w:themeColor="background1" w:themeShade="A6"/>
              <w:bottom w:val="single" w:sz="4" w:space="0" w:color="969696"/>
            </w:tcBorders>
            <w:noWrap/>
            <w:tcMar>
              <w:top w:w="15" w:type="dxa"/>
              <w:left w:w="15" w:type="dxa"/>
              <w:bottom w:w="0" w:type="dxa"/>
              <w:right w:w="15" w:type="dxa"/>
            </w:tcMar>
          </w:tcPr>
          <w:p w14:paraId="0D4D5AB4" w14:textId="22E8BD7B" w:rsidR="00E4323E" w:rsidRDefault="00E4323E" w:rsidP="00E4323E">
            <w:pPr>
              <w:spacing w:before="60" w:after="60"/>
              <w:jc w:val="center"/>
            </w:pPr>
            <w:r>
              <w:t>3</w:t>
            </w:r>
          </w:p>
        </w:tc>
        <w:tc>
          <w:tcPr>
            <w:tcW w:w="6477" w:type="dxa"/>
            <w:tcBorders>
              <w:top w:val="single" w:sz="4" w:space="0" w:color="969696"/>
              <w:bottom w:val="single" w:sz="4" w:space="0" w:color="969696"/>
            </w:tcBorders>
          </w:tcPr>
          <w:p w14:paraId="6B9D5A12" w14:textId="5FCD1E6D" w:rsidR="00E4323E" w:rsidRPr="008F76C5" w:rsidRDefault="00E4323E" w:rsidP="00E4323E">
            <w:pPr>
              <w:tabs>
                <w:tab w:val="left" w:pos="1357"/>
              </w:tabs>
              <w:spacing w:before="60" w:after="60"/>
              <w:rPr>
                <w:iCs/>
              </w:rPr>
            </w:pPr>
            <w:proofErr w:type="spellStart"/>
            <w:r>
              <w:rPr>
                <w:iCs/>
              </w:rPr>
              <w:t>Patinet’s</w:t>
            </w:r>
            <w:proofErr w:type="spellEnd"/>
            <w:r>
              <w:rPr>
                <w:iCs/>
              </w:rPr>
              <w:t xml:space="preserve"> age &gt;105 at index date</w:t>
            </w:r>
          </w:p>
        </w:tc>
      </w:tr>
      <w:tr w:rsidR="00E4323E" w14:paraId="78FB54FF" w14:textId="77777777" w:rsidTr="00E63293">
        <w:trPr>
          <w:trHeight w:val="227"/>
        </w:trPr>
        <w:tc>
          <w:tcPr>
            <w:tcW w:w="2625" w:type="dxa"/>
            <w:vMerge/>
            <w:tcBorders>
              <w:right w:val="single" w:sz="4" w:space="0" w:color="A6A6A6" w:themeColor="background1" w:themeShade="A6"/>
            </w:tcBorders>
            <w:noWrap/>
            <w:tcMar>
              <w:top w:w="15" w:type="dxa"/>
              <w:left w:w="15" w:type="dxa"/>
              <w:bottom w:w="0" w:type="dxa"/>
              <w:right w:w="15" w:type="dxa"/>
            </w:tcMar>
          </w:tcPr>
          <w:p w14:paraId="30DB165D" w14:textId="77777777" w:rsidR="00E4323E" w:rsidRDefault="00E4323E" w:rsidP="00E4323E"/>
        </w:tc>
        <w:tc>
          <w:tcPr>
            <w:tcW w:w="993" w:type="dxa"/>
            <w:tcBorders>
              <w:top w:val="single" w:sz="4" w:space="0" w:color="969696"/>
              <w:left w:val="single" w:sz="4" w:space="0" w:color="A6A6A6" w:themeColor="background1" w:themeShade="A6"/>
              <w:bottom w:val="single" w:sz="4" w:space="0" w:color="969696"/>
            </w:tcBorders>
            <w:noWrap/>
            <w:tcMar>
              <w:top w:w="15" w:type="dxa"/>
              <w:left w:w="15" w:type="dxa"/>
              <w:bottom w:w="0" w:type="dxa"/>
              <w:right w:w="15" w:type="dxa"/>
            </w:tcMar>
          </w:tcPr>
          <w:p w14:paraId="5FF5C6CD" w14:textId="5700CF8B" w:rsidR="00E4323E" w:rsidRDefault="00E4323E" w:rsidP="00E4323E">
            <w:pPr>
              <w:spacing w:before="60" w:after="60"/>
              <w:jc w:val="center"/>
            </w:pPr>
            <w:r>
              <w:t>4</w:t>
            </w:r>
          </w:p>
        </w:tc>
        <w:tc>
          <w:tcPr>
            <w:tcW w:w="6477" w:type="dxa"/>
            <w:tcBorders>
              <w:top w:val="single" w:sz="4" w:space="0" w:color="969696"/>
              <w:bottom w:val="single" w:sz="4" w:space="0" w:color="969696"/>
            </w:tcBorders>
          </w:tcPr>
          <w:p w14:paraId="72D88F38" w14:textId="2273C618" w:rsidR="00E4323E" w:rsidRDefault="00E4323E" w:rsidP="00E4323E">
            <w:pPr>
              <w:spacing w:before="60" w:after="60"/>
            </w:pPr>
            <w:r>
              <w:t>Non-Ontario resident (</w:t>
            </w:r>
            <w:proofErr w:type="spellStart"/>
            <w:r>
              <w:t>pstlcode</w:t>
            </w:r>
            <w:proofErr w:type="spellEnd"/>
            <w:r>
              <w:t xml:space="preserve"> </w:t>
            </w:r>
            <w:r>
              <w:rPr>
                <w:rFonts w:cstheme="minorHAnsi"/>
              </w:rPr>
              <w:t>≠</w:t>
            </w:r>
            <w:r>
              <w:t xml:space="preserve"> K, L, M, N, P)</w:t>
            </w:r>
          </w:p>
        </w:tc>
      </w:tr>
      <w:tr w:rsidR="00E4323E" w14:paraId="6EBB112B" w14:textId="77777777" w:rsidTr="00E63293">
        <w:trPr>
          <w:trHeight w:val="227"/>
        </w:trPr>
        <w:tc>
          <w:tcPr>
            <w:tcW w:w="2625" w:type="dxa"/>
            <w:vMerge/>
            <w:tcBorders>
              <w:right w:val="single" w:sz="4" w:space="0" w:color="A6A6A6" w:themeColor="background1" w:themeShade="A6"/>
            </w:tcBorders>
            <w:noWrap/>
            <w:tcMar>
              <w:top w:w="15" w:type="dxa"/>
              <w:left w:w="15" w:type="dxa"/>
              <w:bottom w:w="0" w:type="dxa"/>
              <w:right w:w="15" w:type="dxa"/>
            </w:tcMar>
          </w:tcPr>
          <w:p w14:paraId="04B4E259" w14:textId="77777777" w:rsidR="00E4323E" w:rsidRDefault="00E4323E" w:rsidP="00E4323E"/>
        </w:tc>
        <w:tc>
          <w:tcPr>
            <w:tcW w:w="993" w:type="dxa"/>
            <w:tcBorders>
              <w:top w:val="single" w:sz="4" w:space="0" w:color="969696"/>
              <w:left w:val="single" w:sz="4" w:space="0" w:color="A6A6A6" w:themeColor="background1" w:themeShade="A6"/>
              <w:bottom w:val="single" w:sz="4" w:space="0" w:color="969696"/>
            </w:tcBorders>
            <w:noWrap/>
            <w:tcMar>
              <w:top w:w="15" w:type="dxa"/>
              <w:left w:w="15" w:type="dxa"/>
              <w:bottom w:w="0" w:type="dxa"/>
              <w:right w:w="15" w:type="dxa"/>
            </w:tcMar>
          </w:tcPr>
          <w:p w14:paraId="2A5C2815" w14:textId="51F55703" w:rsidR="00E4323E" w:rsidRDefault="00E4323E" w:rsidP="00E4323E">
            <w:pPr>
              <w:spacing w:before="60" w:after="60"/>
              <w:jc w:val="center"/>
            </w:pPr>
            <w:r>
              <w:t>5</w:t>
            </w:r>
          </w:p>
        </w:tc>
        <w:tc>
          <w:tcPr>
            <w:tcW w:w="6477" w:type="dxa"/>
            <w:tcBorders>
              <w:top w:val="single" w:sz="4" w:space="0" w:color="969696"/>
              <w:bottom w:val="single" w:sz="4" w:space="0" w:color="969696"/>
            </w:tcBorders>
          </w:tcPr>
          <w:p w14:paraId="2C7A6680" w14:textId="20BD43E4" w:rsidR="00E4323E" w:rsidRDefault="00E4323E" w:rsidP="00E4323E">
            <w:pPr>
              <w:pStyle w:val="BodyText"/>
              <w:spacing w:after="120" w:line="300" w:lineRule="exact"/>
              <w:rPr>
                <w:lang w:eastAsia="en-GB"/>
              </w:rPr>
            </w:pPr>
            <w:r>
              <w:t xml:space="preserve">Loss of OHIP coverage at any point in the year prior to the hypoparathyroidism index date. </w:t>
            </w:r>
          </w:p>
        </w:tc>
      </w:tr>
      <w:tr w:rsidR="00E4323E" w14:paraId="52DA82C1" w14:textId="77777777" w:rsidTr="00E63293">
        <w:trPr>
          <w:trHeight w:val="227"/>
        </w:trPr>
        <w:tc>
          <w:tcPr>
            <w:tcW w:w="2625" w:type="dxa"/>
            <w:vMerge/>
            <w:tcBorders>
              <w:right w:val="single" w:sz="4" w:space="0" w:color="A6A6A6" w:themeColor="background1" w:themeShade="A6"/>
            </w:tcBorders>
            <w:noWrap/>
            <w:tcMar>
              <w:top w:w="15" w:type="dxa"/>
              <w:left w:w="15" w:type="dxa"/>
              <w:bottom w:w="0" w:type="dxa"/>
              <w:right w:w="15" w:type="dxa"/>
            </w:tcMar>
          </w:tcPr>
          <w:p w14:paraId="105AEA29" w14:textId="77777777" w:rsidR="00E4323E" w:rsidRDefault="00E4323E" w:rsidP="00E4323E"/>
        </w:tc>
        <w:tc>
          <w:tcPr>
            <w:tcW w:w="993" w:type="dxa"/>
            <w:tcBorders>
              <w:top w:val="single" w:sz="4" w:space="0" w:color="969696"/>
              <w:left w:val="single" w:sz="4" w:space="0" w:color="A6A6A6" w:themeColor="background1" w:themeShade="A6"/>
              <w:bottom w:val="single" w:sz="4" w:space="0" w:color="969696"/>
            </w:tcBorders>
            <w:noWrap/>
            <w:tcMar>
              <w:top w:w="15" w:type="dxa"/>
              <w:left w:w="15" w:type="dxa"/>
              <w:bottom w:w="0" w:type="dxa"/>
              <w:right w:w="15" w:type="dxa"/>
            </w:tcMar>
          </w:tcPr>
          <w:p w14:paraId="0AD5CF36" w14:textId="4FDDFC74" w:rsidR="00E4323E" w:rsidRDefault="00E4323E" w:rsidP="00E4323E">
            <w:pPr>
              <w:spacing w:before="60" w:after="60"/>
              <w:jc w:val="center"/>
            </w:pPr>
            <w:r>
              <w:t>6</w:t>
            </w:r>
          </w:p>
        </w:tc>
        <w:tc>
          <w:tcPr>
            <w:tcW w:w="6477" w:type="dxa"/>
            <w:tcBorders>
              <w:top w:val="single" w:sz="4" w:space="0" w:color="969696"/>
              <w:bottom w:val="single" w:sz="4" w:space="0" w:color="969696"/>
            </w:tcBorders>
          </w:tcPr>
          <w:p w14:paraId="477AF374" w14:textId="1CE8A581" w:rsidR="00E4323E" w:rsidRDefault="00E4323E" w:rsidP="00E4323E">
            <w:pPr>
              <w:spacing w:before="60" w:after="60"/>
            </w:pPr>
            <w:r>
              <w:rPr>
                <w:lang w:eastAsia="en-GB"/>
              </w:rPr>
              <w:t xml:space="preserve">More than one of procedural codes at any time point from the start of a </w:t>
            </w:r>
            <w:proofErr w:type="gramStart"/>
            <w:r>
              <w:rPr>
                <w:lang w:eastAsia="en-GB"/>
              </w:rPr>
              <w:t>patients</w:t>
            </w:r>
            <w:proofErr w:type="gramEnd"/>
            <w:r>
              <w:rPr>
                <w:lang w:eastAsia="en-GB"/>
              </w:rPr>
              <w:t xml:space="preserve"> lookback to the end of their follow-up</w:t>
            </w:r>
            <w:r w:rsidR="009D1245">
              <w:rPr>
                <w:lang w:eastAsia="en-GB"/>
              </w:rPr>
              <w:t xml:space="preserve"> (see Table 4 in the Appendix)</w:t>
            </w:r>
          </w:p>
        </w:tc>
      </w:tr>
      <w:tr w:rsidR="00E4323E" w14:paraId="6539D6BC" w14:textId="77777777" w:rsidTr="00E63293">
        <w:trPr>
          <w:trHeight w:val="227"/>
        </w:trPr>
        <w:tc>
          <w:tcPr>
            <w:tcW w:w="2625" w:type="dxa"/>
            <w:vMerge/>
            <w:tcBorders>
              <w:bottom w:val="single" w:sz="12" w:space="0" w:color="auto"/>
              <w:right w:val="single" w:sz="4" w:space="0" w:color="A6A6A6" w:themeColor="background1" w:themeShade="A6"/>
            </w:tcBorders>
            <w:noWrap/>
            <w:tcMar>
              <w:top w:w="15" w:type="dxa"/>
              <w:left w:w="15" w:type="dxa"/>
              <w:bottom w:w="0" w:type="dxa"/>
              <w:right w:w="15" w:type="dxa"/>
            </w:tcMar>
          </w:tcPr>
          <w:p w14:paraId="6B2A512B" w14:textId="77777777" w:rsidR="00E4323E" w:rsidRDefault="00E4323E" w:rsidP="00E4323E"/>
        </w:tc>
        <w:tc>
          <w:tcPr>
            <w:tcW w:w="993" w:type="dxa"/>
            <w:tcBorders>
              <w:top w:val="single" w:sz="4" w:space="0" w:color="969696"/>
              <w:left w:val="single" w:sz="4" w:space="0" w:color="A6A6A6" w:themeColor="background1" w:themeShade="A6"/>
              <w:bottom w:val="single" w:sz="12" w:space="0" w:color="auto"/>
            </w:tcBorders>
            <w:noWrap/>
            <w:tcMar>
              <w:top w:w="15" w:type="dxa"/>
              <w:left w:w="15" w:type="dxa"/>
              <w:bottom w:w="0" w:type="dxa"/>
              <w:right w:w="15" w:type="dxa"/>
            </w:tcMar>
          </w:tcPr>
          <w:p w14:paraId="5178CAD1" w14:textId="55625EA6" w:rsidR="00E4323E" w:rsidRDefault="00E4323E" w:rsidP="00E4323E">
            <w:pPr>
              <w:spacing w:before="60" w:after="60"/>
              <w:jc w:val="center"/>
            </w:pPr>
            <w:r>
              <w:t>7</w:t>
            </w:r>
          </w:p>
        </w:tc>
        <w:tc>
          <w:tcPr>
            <w:tcW w:w="6477" w:type="dxa"/>
            <w:tcBorders>
              <w:top w:val="single" w:sz="4" w:space="0" w:color="969696"/>
              <w:bottom w:val="single" w:sz="12" w:space="0" w:color="auto"/>
            </w:tcBorders>
          </w:tcPr>
          <w:p w14:paraId="220998DB" w14:textId="77777777" w:rsidR="00E4323E" w:rsidRDefault="00E4323E" w:rsidP="00E4323E">
            <w:pPr>
              <w:spacing w:before="60" w:after="60"/>
            </w:pPr>
          </w:p>
        </w:tc>
      </w:tr>
    </w:tbl>
    <w:p w14:paraId="67C87E70" w14:textId="77777777" w:rsidR="00F504D9" w:rsidRDefault="00F504D9"/>
    <w:tbl>
      <w:tblPr>
        <w:tblW w:w="10110" w:type="dxa"/>
        <w:tblBorders>
          <w:top w:val="single" w:sz="4" w:space="0" w:color="auto"/>
          <w:bottom w:val="single" w:sz="4" w:space="0" w:color="auto"/>
          <w:insideH w:val="single" w:sz="4" w:space="0" w:color="auto"/>
        </w:tblBorders>
        <w:tblLayout w:type="fixed"/>
        <w:tblCellMar>
          <w:left w:w="0" w:type="dxa"/>
          <w:right w:w="0" w:type="dxa"/>
        </w:tblCellMar>
        <w:tblLook w:val="00A0" w:firstRow="1" w:lastRow="0" w:firstColumn="1" w:lastColumn="0" w:noHBand="0" w:noVBand="0"/>
      </w:tblPr>
      <w:tblGrid>
        <w:gridCol w:w="2896"/>
        <w:gridCol w:w="7199"/>
        <w:gridCol w:w="15"/>
      </w:tblGrid>
      <w:tr w:rsidR="00532284" w14:paraId="1DEBE644" w14:textId="77777777" w:rsidTr="00CE57D3">
        <w:trPr>
          <w:trHeight w:val="189"/>
          <w:tblHeader/>
        </w:trPr>
        <w:tc>
          <w:tcPr>
            <w:tcW w:w="10110" w:type="dxa"/>
            <w:gridSpan w:val="3"/>
            <w:tcBorders>
              <w:top w:val="double" w:sz="4" w:space="0" w:color="auto"/>
              <w:left w:val="single" w:sz="4" w:space="0" w:color="A6A6A6" w:themeColor="background1" w:themeShade="A6"/>
              <w:bottom w:val="double" w:sz="4" w:space="0" w:color="auto"/>
              <w:right w:val="single" w:sz="4" w:space="0" w:color="A6A6A6" w:themeColor="background1" w:themeShade="A6"/>
            </w:tcBorders>
            <w:shd w:val="clear" w:color="auto" w:fill="E0E0E0"/>
            <w:noWrap/>
            <w:tcMar>
              <w:top w:w="15" w:type="dxa"/>
              <w:left w:w="15" w:type="dxa"/>
              <w:bottom w:w="0" w:type="dxa"/>
              <w:right w:w="15" w:type="dxa"/>
            </w:tcMar>
            <w:vAlign w:val="center"/>
          </w:tcPr>
          <w:p w14:paraId="3E74B260" w14:textId="00D04EA1" w:rsidR="00532284" w:rsidRDefault="00532284" w:rsidP="00CE57D3">
            <w:pPr>
              <w:pStyle w:val="Heading2"/>
            </w:pPr>
            <w:r>
              <w:br w:type="page"/>
            </w:r>
            <w:r>
              <w:br w:type="page"/>
              <w:t>Project Time Frame Definitions</w:t>
            </w:r>
          </w:p>
        </w:tc>
      </w:tr>
      <w:tr w:rsidR="00532284" w14:paraId="093F5D40" w14:textId="77777777" w:rsidTr="00CE57D3">
        <w:trPr>
          <w:gridAfter w:val="1"/>
          <w:wAfter w:w="15" w:type="dxa"/>
          <w:cantSplit/>
        </w:trPr>
        <w:tc>
          <w:tcPr>
            <w:tcW w:w="10095" w:type="dxa"/>
            <w:gridSpan w:val="2"/>
            <w:tcBorders>
              <w:left w:val="single" w:sz="4" w:space="0" w:color="A6A6A6" w:themeColor="background1" w:themeShade="A6"/>
              <w:bottom w:val="single" w:sz="4" w:space="0" w:color="auto"/>
              <w:right w:val="single" w:sz="4" w:space="0" w:color="A6A6A6" w:themeColor="background1" w:themeShade="A6"/>
            </w:tcBorders>
            <w:noWrap/>
            <w:tcMar>
              <w:top w:w="15" w:type="dxa"/>
              <w:left w:w="15" w:type="dxa"/>
              <w:bottom w:w="0" w:type="dxa"/>
              <w:right w:w="15" w:type="dxa"/>
            </w:tcMar>
          </w:tcPr>
          <w:p w14:paraId="7DED8CED" w14:textId="77777777" w:rsidR="00532284" w:rsidRDefault="00532284" w:rsidP="00CE57D3">
            <w:pPr>
              <w:spacing w:after="60"/>
              <w:jc w:val="center"/>
              <w:rPr>
                <w:rFonts w:ascii="Arial" w:hAnsi="Arial"/>
              </w:rPr>
            </w:pPr>
            <w:r>
              <w:rPr>
                <w:rFonts w:ascii="Arial" w:hAnsi="Arial"/>
                <w:noProof/>
              </w:rPr>
              <mc:AlternateContent>
                <mc:Choice Requires="wpg">
                  <w:drawing>
                    <wp:anchor distT="0" distB="0" distL="114300" distR="114300" simplePos="0" relativeHeight="251659264" behindDoc="0" locked="0" layoutInCell="1" allowOverlap="1" wp14:anchorId="74E7DB4B" wp14:editId="7DD4B105">
                      <wp:simplePos x="0" y="0"/>
                      <wp:positionH relativeFrom="column">
                        <wp:posOffset>685800</wp:posOffset>
                      </wp:positionH>
                      <wp:positionV relativeFrom="paragraph">
                        <wp:posOffset>67733</wp:posOffset>
                      </wp:positionV>
                      <wp:extent cx="4137660" cy="984250"/>
                      <wp:effectExtent l="0" t="0" r="0" b="635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7660" cy="984250"/>
                                <a:chOff x="2520" y="6168"/>
                                <a:chExt cx="6516" cy="1550"/>
                              </a:xfrm>
                            </wpg:grpSpPr>
                            <wps:wsp>
                              <wps:cNvPr id="44" name="Line 40"/>
                              <wps:cNvCnPr/>
                              <wps:spPr bwMode="auto">
                                <a:xfrm>
                                  <a:off x="2520" y="6816"/>
                                  <a:ext cx="6408" cy="0"/>
                                </a:xfrm>
                                <a:prstGeom prst="line">
                                  <a:avLst/>
                                </a:prstGeom>
                                <a:noFill/>
                                <a:ln w="9525">
                                  <a:solidFill>
                                    <a:srgbClr val="000000"/>
                                  </a:solidFill>
                                  <a:round/>
                                  <a:headEnd/>
                                  <a:tailEnd type="triangl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AutoShape 41"/>
                              <wps:cNvSpPr>
                                <a:spLocks/>
                              </wps:cNvSpPr>
                              <wps:spPr bwMode="auto">
                                <a:xfrm rot="16200000">
                                  <a:off x="3744" y="6264"/>
                                  <a:ext cx="192" cy="1440"/>
                                </a:xfrm>
                                <a:prstGeom prst="leftBrace">
                                  <a:avLst>
                                    <a:gd name="adj1" fmla="val 25486"/>
                                    <a:gd name="adj2" fmla="val 49685"/>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6" name="AutoShape 42"/>
                              <wps:cNvSpPr>
                                <a:spLocks/>
                              </wps:cNvSpPr>
                              <wps:spPr bwMode="auto">
                                <a:xfrm rot="16200000">
                                  <a:off x="6114" y="5658"/>
                                  <a:ext cx="144" cy="2628"/>
                                </a:xfrm>
                                <a:prstGeom prst="leftBrace">
                                  <a:avLst>
                                    <a:gd name="adj1" fmla="val 62016"/>
                                    <a:gd name="adj2" fmla="val 49685"/>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7" name="AutoShape 43"/>
                              <wps:cNvSpPr>
                                <a:spLocks/>
                              </wps:cNvSpPr>
                              <wps:spPr bwMode="auto">
                                <a:xfrm rot="5400000">
                                  <a:off x="5256" y="5125"/>
                                  <a:ext cx="227" cy="3060"/>
                                </a:xfrm>
                                <a:prstGeom prst="leftBrace">
                                  <a:avLst>
                                    <a:gd name="adj1" fmla="val 45808"/>
                                    <a:gd name="adj2" fmla="val 49685"/>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8" name="Line 44"/>
                              <wps:cNvCnPr/>
                              <wps:spPr bwMode="auto">
                                <a:xfrm>
                                  <a:off x="4692" y="6900"/>
                                  <a:ext cx="0" cy="432"/>
                                </a:xfrm>
                                <a:prstGeom prst="line">
                                  <a:avLst/>
                                </a:prstGeom>
                                <a:noFill/>
                                <a:ln w="12700">
                                  <a:solidFill>
                                    <a:srgbClr val="000000"/>
                                  </a:solidFill>
                                  <a:round/>
                                  <a:headEnd type="triangle" w="med" len="sm"/>
                                  <a:tailEnd/>
                                </a:ln>
                                <a:extLst>
                                  <a:ext uri="{909E8E84-426E-40DD-AFC4-6F175D3DCCD1}">
                                    <a14:hiddenFill xmlns:a14="http://schemas.microsoft.com/office/drawing/2010/main">
                                      <a:noFill/>
                                    </a14:hiddenFill>
                                  </a:ext>
                                </a:extLst>
                              </wps:spPr>
                              <wps:bodyPr/>
                            </wps:wsp>
                            <wps:wsp>
                              <wps:cNvPr id="49" name="Line 45"/>
                              <wps:cNvCnPr/>
                              <wps:spPr bwMode="auto">
                                <a:xfrm>
                                  <a:off x="8136" y="6456"/>
                                  <a:ext cx="0" cy="288"/>
                                </a:xfrm>
                                <a:prstGeom prst="line">
                                  <a:avLst/>
                                </a:prstGeom>
                                <a:noFill/>
                                <a:ln w="12700">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50" name="Text Box 46"/>
                              <wps:cNvSpPr txBox="1">
                                <a:spLocks noChangeArrowheads="1"/>
                              </wps:cNvSpPr>
                              <wps:spPr bwMode="auto">
                                <a:xfrm>
                                  <a:off x="2952" y="7032"/>
                                  <a:ext cx="1788" cy="33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110AE" w14:textId="77777777" w:rsidR="008D0D0D" w:rsidRDefault="008D0D0D" w:rsidP="00532284">
                                    <w:pPr>
                                      <w:autoSpaceDE w:val="0"/>
                                      <w:autoSpaceDN w:val="0"/>
                                      <w:adjustRightInd w:val="0"/>
                                      <w:jc w:val="center"/>
                                      <w:rPr>
                                        <w:rFonts w:ascii="Arial" w:hAnsi="Arial"/>
                                        <w:color w:val="000000"/>
                                        <w:sz w:val="16"/>
                                        <w:szCs w:val="16"/>
                                      </w:rPr>
                                    </w:pPr>
                                    <w:r>
                                      <w:rPr>
                                        <w:rFonts w:ascii="Arial" w:hAnsi="Arial"/>
                                        <w:color w:val="000000"/>
                                        <w:sz w:val="16"/>
                                        <w:szCs w:val="16"/>
                                      </w:rPr>
                                      <w:t>Look-back Window</w:t>
                                    </w:r>
                                  </w:p>
                                </w:txbxContent>
                              </wps:txbx>
                              <wps:bodyPr rot="0" vert="horz" wrap="square" lIns="91440" tIns="45720" rIns="91440" bIns="45720" anchor="t" anchorCtr="0" upright="1">
                                <a:noAutofit/>
                              </wps:bodyPr>
                            </wps:wsp>
                            <wps:wsp>
                              <wps:cNvPr id="51" name="Text Box 47"/>
                              <wps:cNvSpPr txBox="1">
                                <a:spLocks noChangeArrowheads="1"/>
                              </wps:cNvSpPr>
                              <wps:spPr bwMode="auto">
                                <a:xfrm>
                                  <a:off x="4740" y="7008"/>
                                  <a:ext cx="3024" cy="5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9DADE" w14:textId="77777777" w:rsidR="008D0D0D" w:rsidRDefault="008D0D0D" w:rsidP="00532284">
                                    <w:pPr>
                                      <w:autoSpaceDE w:val="0"/>
                                      <w:autoSpaceDN w:val="0"/>
                                      <w:adjustRightInd w:val="0"/>
                                      <w:jc w:val="center"/>
                                      <w:rPr>
                                        <w:rFonts w:ascii="Arial" w:hAnsi="Arial"/>
                                        <w:color w:val="000000"/>
                                        <w:sz w:val="16"/>
                                        <w:szCs w:val="16"/>
                                      </w:rPr>
                                    </w:pPr>
                                    <w:r>
                                      <w:rPr>
                                        <w:rFonts w:ascii="Arial" w:hAnsi="Arial"/>
                                        <w:color w:val="000000"/>
                                        <w:sz w:val="16"/>
                                        <w:szCs w:val="16"/>
                                      </w:rPr>
                                      <w:t>Observation Window</w:t>
                                    </w:r>
                                  </w:p>
                                  <w:p w14:paraId="399E7A00" w14:textId="77777777" w:rsidR="008D0D0D" w:rsidRDefault="008D0D0D" w:rsidP="00532284">
                                    <w:pPr>
                                      <w:autoSpaceDE w:val="0"/>
                                      <w:autoSpaceDN w:val="0"/>
                                      <w:adjustRightInd w:val="0"/>
                                      <w:jc w:val="center"/>
                                      <w:rPr>
                                        <w:rFonts w:ascii="Arial" w:hAnsi="Arial"/>
                                        <w:color w:val="000000"/>
                                        <w:sz w:val="16"/>
                                        <w:szCs w:val="16"/>
                                      </w:rPr>
                                    </w:pPr>
                                    <w:r>
                                      <w:rPr>
                                        <w:rFonts w:ascii="Arial" w:hAnsi="Arial"/>
                                        <w:color w:val="000000"/>
                                        <w:sz w:val="16"/>
                                        <w:szCs w:val="16"/>
                                      </w:rPr>
                                      <w:t>(in which to look for outcomes)</w:t>
                                    </w:r>
                                  </w:p>
                                </w:txbxContent>
                              </wps:txbx>
                              <wps:bodyPr rot="0" vert="horz" wrap="square" lIns="91440" tIns="45720" rIns="91440" bIns="45720" anchor="t" anchorCtr="0" upright="1">
                                <a:noAutofit/>
                              </wps:bodyPr>
                            </wps:wsp>
                            <wps:wsp>
                              <wps:cNvPr id="52" name="Text Box 48"/>
                              <wps:cNvSpPr txBox="1">
                                <a:spLocks noChangeArrowheads="1"/>
                              </wps:cNvSpPr>
                              <wps:spPr bwMode="auto">
                                <a:xfrm>
                                  <a:off x="3780" y="7381"/>
                                  <a:ext cx="1800" cy="33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B1583" w14:textId="77F65E13" w:rsidR="008D0D0D" w:rsidRDefault="008D0D0D" w:rsidP="00532284">
                                    <w:pPr>
                                      <w:autoSpaceDE w:val="0"/>
                                      <w:autoSpaceDN w:val="0"/>
                                      <w:adjustRightInd w:val="0"/>
                                      <w:jc w:val="center"/>
                                      <w:rPr>
                                        <w:rFonts w:ascii="Arial" w:hAnsi="Arial"/>
                                        <w:b/>
                                        <w:bCs/>
                                        <w:color w:val="000000"/>
                                        <w:sz w:val="16"/>
                                        <w:szCs w:val="16"/>
                                      </w:rPr>
                                    </w:pPr>
                                    <w:r>
                                      <w:rPr>
                                        <w:rFonts w:ascii="Arial" w:hAnsi="Arial"/>
                                        <w:b/>
                                        <w:bCs/>
                                        <w:color w:val="000000"/>
                                        <w:sz w:val="16"/>
                                        <w:szCs w:val="16"/>
                                      </w:rPr>
                                      <w:t>Index Event Date</w:t>
                                    </w:r>
                                  </w:p>
                                </w:txbxContent>
                              </wps:txbx>
                              <wps:bodyPr rot="0" vert="horz" wrap="square" lIns="91440" tIns="45720" rIns="91440" bIns="45720" anchor="t" anchorCtr="0" upright="1">
                                <a:noAutofit/>
                              </wps:bodyPr>
                            </wps:wsp>
                            <wps:wsp>
                              <wps:cNvPr id="53" name="Text Box 49"/>
                              <wps:cNvSpPr txBox="1">
                                <a:spLocks noChangeArrowheads="1"/>
                              </wps:cNvSpPr>
                              <wps:spPr bwMode="auto">
                                <a:xfrm>
                                  <a:off x="4500" y="6264"/>
                                  <a:ext cx="1764" cy="33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50F52" w14:textId="77777777" w:rsidR="008D0D0D" w:rsidRDefault="008D0D0D" w:rsidP="00532284">
                                    <w:pPr>
                                      <w:autoSpaceDE w:val="0"/>
                                      <w:autoSpaceDN w:val="0"/>
                                      <w:adjustRightInd w:val="0"/>
                                      <w:jc w:val="center"/>
                                      <w:rPr>
                                        <w:rFonts w:ascii="Arial" w:hAnsi="Arial"/>
                                        <w:color w:val="000000"/>
                                        <w:sz w:val="16"/>
                                        <w:szCs w:val="16"/>
                                      </w:rPr>
                                    </w:pPr>
                                    <w:r>
                                      <w:rPr>
                                        <w:rFonts w:ascii="Arial" w:hAnsi="Arial"/>
                                        <w:color w:val="000000"/>
                                        <w:sz w:val="16"/>
                                        <w:szCs w:val="16"/>
                                      </w:rPr>
                                      <w:t>Accrual Window</w:t>
                                    </w:r>
                                  </w:p>
                                </w:txbxContent>
                              </wps:txbx>
                              <wps:bodyPr rot="0" vert="horz" wrap="square" lIns="91440" tIns="45720" rIns="91440" bIns="45720" anchor="t" anchorCtr="0" upright="1">
                                <a:noAutofit/>
                              </wps:bodyPr>
                            </wps:wsp>
                            <wps:wsp>
                              <wps:cNvPr id="54" name="Text Box 50"/>
                              <wps:cNvSpPr txBox="1">
                                <a:spLocks noChangeArrowheads="1"/>
                              </wps:cNvSpPr>
                              <wps:spPr bwMode="auto">
                                <a:xfrm>
                                  <a:off x="7212" y="6168"/>
                                  <a:ext cx="1824" cy="33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97043" w14:textId="77777777" w:rsidR="008D0D0D" w:rsidRDefault="008D0D0D" w:rsidP="00532284">
                                    <w:pPr>
                                      <w:autoSpaceDE w:val="0"/>
                                      <w:autoSpaceDN w:val="0"/>
                                      <w:adjustRightInd w:val="0"/>
                                      <w:jc w:val="center"/>
                                      <w:rPr>
                                        <w:rFonts w:ascii="Arial" w:hAnsi="Arial"/>
                                        <w:color w:val="000000"/>
                                        <w:sz w:val="16"/>
                                        <w:szCs w:val="16"/>
                                      </w:rPr>
                                    </w:pPr>
                                    <w:r>
                                      <w:rPr>
                                        <w:rFonts w:ascii="Arial" w:hAnsi="Arial"/>
                                        <w:color w:val="000000"/>
                                        <w:sz w:val="16"/>
                                        <w:szCs w:val="16"/>
                                      </w:rPr>
                                      <w:t>Max Follow-up Date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7DB4B" id="Group 43" o:spid="_x0000_s1026" style="position:absolute;left:0;text-align:left;margin-left:54pt;margin-top:5.35pt;width:325.8pt;height:77.5pt;z-index:251659264" coordorigin="2520,6168" coordsize="6516,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">
                      <v:line id="Line 40" o:spid="_x0000_s1027" style="position:absolute;visibility:visible;mso-wrap-style:square" from="2520,6816" to="8928,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">
                        <v:stroke endarrow="block" endarrowlength="short"/>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1" o:spid="_x0000_s1028" type="#_x0000_t87" style="position:absolute;left:3744;top:6264;width:192;height:14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" adj="734,10732" fillcolor="#0c9"/>
                      <v:shape id="AutoShape 42" o:spid="_x0000_s1029" type="#_x0000_t87" style="position:absolute;left:6114;top:5658;width:144;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" adj="734,10732" fillcolor="#0c9"/>
                      <v:shape id="AutoShape 43" o:spid="_x0000_s1030" type="#_x0000_t87" style="position:absolute;left:5256;top:5125;width:227;height:30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" adj="734,10732" fillcolor="#0c9"/>
                      <v:line id="Line 44" o:spid="_x0000_s1031" style="position:absolute;visibility:visible;mso-wrap-style:square" from="4692,6900" to="4692,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" strokeweight="1pt">
                        <v:stroke startarrow="block" startarrowlength="short"/>
                      </v:line>
                      <v:line id="Line 45" o:spid="_x0000_s1032" style="position:absolute;visibility:visible;mso-wrap-style:square" from="8136,6456" to="8136,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" strokeweight="1pt">
                        <v:stroke endarrow="block" endarrowlength="short"/>
                      </v:line>
                      <v:shapetype id="_x0000_t202" coordsize="21600,21600" o:spt="202" path="m,l,21600r21600,l21600,xe">
                        <v:stroke joinstyle="miter"/>
                        <v:path gradientshapeok="t" o:connecttype="rect"/>
                      </v:shapetype>
                      <v:shape id="Text Box 46" o:spid="_x0000_s1033" type="#_x0000_t202" style="position:absolute;left:2952;top:7032;width:1788;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" filled="f" fillcolor="#0c9" stroked="f">
                        <v:textbox>
                          <w:txbxContent>
                            <w:p w14:paraId="6B2110AE" w14:textId="77777777" w:rsidR="008D0D0D" w:rsidRDefault="008D0D0D" w:rsidP="00532284">
                              <w:pPr>
                                <w:autoSpaceDE w:val="0"/>
                                <w:autoSpaceDN w:val="0"/>
                                <w:adjustRightInd w:val="0"/>
                                <w:jc w:val="center"/>
                                <w:rPr>
                                  <w:rFonts w:ascii="Arial" w:hAnsi="Arial"/>
                                  <w:color w:val="000000"/>
                                  <w:sz w:val="16"/>
                                  <w:szCs w:val="16"/>
                                </w:rPr>
                              </w:pPr>
                              <w:r>
                                <w:rPr>
                                  <w:rFonts w:ascii="Arial" w:hAnsi="Arial"/>
                                  <w:color w:val="000000"/>
                                  <w:sz w:val="16"/>
                                  <w:szCs w:val="16"/>
                                </w:rPr>
                                <w:t>Look-back Window</w:t>
                              </w:r>
                            </w:p>
                          </w:txbxContent>
                        </v:textbox>
                      </v:shape>
                      <v:shape id="Text Box 47" o:spid="_x0000_s1034" type="#_x0000_t202" style="position:absolute;left:4740;top:7008;width:3024;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" filled="f" fillcolor="#0c9" stroked="f">
                        <v:textbox>
                          <w:txbxContent>
                            <w:p w14:paraId="6E89DADE" w14:textId="77777777" w:rsidR="008D0D0D" w:rsidRDefault="008D0D0D" w:rsidP="00532284">
                              <w:pPr>
                                <w:autoSpaceDE w:val="0"/>
                                <w:autoSpaceDN w:val="0"/>
                                <w:adjustRightInd w:val="0"/>
                                <w:jc w:val="center"/>
                                <w:rPr>
                                  <w:rFonts w:ascii="Arial" w:hAnsi="Arial"/>
                                  <w:color w:val="000000"/>
                                  <w:sz w:val="16"/>
                                  <w:szCs w:val="16"/>
                                </w:rPr>
                              </w:pPr>
                              <w:r>
                                <w:rPr>
                                  <w:rFonts w:ascii="Arial" w:hAnsi="Arial"/>
                                  <w:color w:val="000000"/>
                                  <w:sz w:val="16"/>
                                  <w:szCs w:val="16"/>
                                </w:rPr>
                                <w:t>Observation Window</w:t>
                              </w:r>
                            </w:p>
                            <w:p w14:paraId="399E7A00" w14:textId="77777777" w:rsidR="008D0D0D" w:rsidRDefault="008D0D0D" w:rsidP="00532284">
                              <w:pPr>
                                <w:autoSpaceDE w:val="0"/>
                                <w:autoSpaceDN w:val="0"/>
                                <w:adjustRightInd w:val="0"/>
                                <w:jc w:val="center"/>
                                <w:rPr>
                                  <w:rFonts w:ascii="Arial" w:hAnsi="Arial"/>
                                  <w:color w:val="000000"/>
                                  <w:sz w:val="16"/>
                                  <w:szCs w:val="16"/>
                                </w:rPr>
                              </w:pPr>
                              <w:r>
                                <w:rPr>
                                  <w:rFonts w:ascii="Arial" w:hAnsi="Arial"/>
                                  <w:color w:val="000000"/>
                                  <w:sz w:val="16"/>
                                  <w:szCs w:val="16"/>
                                </w:rPr>
                                <w:t>(in which to look for outcomes)</w:t>
                              </w:r>
                            </w:p>
                          </w:txbxContent>
                        </v:textbox>
                      </v:shape>
                      <v:shape id="Text Box 48" o:spid="_x0000_s1035" type="#_x0000_t202" style="position:absolute;left:3780;top:7381;width:1800;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" filled="f" fillcolor="#0c9" stroked="f">
                        <v:textbox>
                          <w:txbxContent>
                            <w:p w14:paraId="0FBB1583" w14:textId="77F65E13" w:rsidR="008D0D0D" w:rsidRDefault="008D0D0D" w:rsidP="00532284">
                              <w:pPr>
                                <w:autoSpaceDE w:val="0"/>
                                <w:autoSpaceDN w:val="0"/>
                                <w:adjustRightInd w:val="0"/>
                                <w:jc w:val="center"/>
                                <w:rPr>
                                  <w:rFonts w:ascii="Arial" w:hAnsi="Arial"/>
                                  <w:b/>
                                  <w:bCs/>
                                  <w:color w:val="000000"/>
                                  <w:sz w:val="16"/>
                                  <w:szCs w:val="16"/>
                                </w:rPr>
                              </w:pPr>
                              <w:r>
                                <w:rPr>
                                  <w:rFonts w:ascii="Arial" w:hAnsi="Arial"/>
                                  <w:b/>
                                  <w:bCs/>
                                  <w:color w:val="000000"/>
                                  <w:sz w:val="16"/>
                                  <w:szCs w:val="16"/>
                                </w:rPr>
                                <w:t>Index Event Date</w:t>
                              </w:r>
                            </w:p>
                          </w:txbxContent>
                        </v:textbox>
                      </v:shape>
                      <v:shape id="Text Box 49" o:spid="_x0000_s1036" type="#_x0000_t202" style="position:absolute;left:4500;top:6264;width:1764;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" filled="f" fillcolor="#0c9" stroked="f">
                        <v:textbox>
                          <w:txbxContent>
                            <w:p w14:paraId="17350F52" w14:textId="77777777" w:rsidR="008D0D0D" w:rsidRDefault="008D0D0D" w:rsidP="00532284">
                              <w:pPr>
                                <w:autoSpaceDE w:val="0"/>
                                <w:autoSpaceDN w:val="0"/>
                                <w:adjustRightInd w:val="0"/>
                                <w:jc w:val="center"/>
                                <w:rPr>
                                  <w:rFonts w:ascii="Arial" w:hAnsi="Arial"/>
                                  <w:color w:val="000000"/>
                                  <w:sz w:val="16"/>
                                  <w:szCs w:val="16"/>
                                </w:rPr>
                              </w:pPr>
                              <w:r>
                                <w:rPr>
                                  <w:rFonts w:ascii="Arial" w:hAnsi="Arial"/>
                                  <w:color w:val="000000"/>
                                  <w:sz w:val="16"/>
                                  <w:szCs w:val="16"/>
                                </w:rPr>
                                <w:t>Accrual Window</w:t>
                              </w:r>
                            </w:p>
                          </w:txbxContent>
                        </v:textbox>
                      </v:shape>
                      <v:shape id="Text Box 50" o:spid="_x0000_s1037" type="#_x0000_t202" style="position:absolute;left:7212;top:6168;width:1824;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" filled="f" fillcolor="#0c9" stroked="f">
                        <v:textbox>
                          <w:txbxContent>
                            <w:p w14:paraId="69997043" w14:textId="77777777" w:rsidR="008D0D0D" w:rsidRDefault="008D0D0D" w:rsidP="00532284">
                              <w:pPr>
                                <w:autoSpaceDE w:val="0"/>
                                <w:autoSpaceDN w:val="0"/>
                                <w:adjustRightInd w:val="0"/>
                                <w:jc w:val="center"/>
                                <w:rPr>
                                  <w:rFonts w:ascii="Arial" w:hAnsi="Arial"/>
                                  <w:color w:val="000000"/>
                                  <w:sz w:val="16"/>
                                  <w:szCs w:val="16"/>
                                </w:rPr>
                              </w:pPr>
                              <w:r>
                                <w:rPr>
                                  <w:rFonts w:ascii="Arial" w:hAnsi="Arial"/>
                                  <w:color w:val="000000"/>
                                  <w:sz w:val="16"/>
                                  <w:szCs w:val="16"/>
                                </w:rPr>
                                <w:t>Max Follow-up Date</w:t>
                              </w:r>
                            </w:p>
                          </w:txbxContent>
                        </v:textbox>
                      </v:shape>
                    </v:group>
                  </w:pict>
                </mc:Fallback>
              </mc:AlternateContent>
            </w:r>
          </w:p>
          <w:p w14:paraId="1D445237" w14:textId="77777777" w:rsidR="00532284" w:rsidRDefault="00532284" w:rsidP="00CE57D3">
            <w:pPr>
              <w:spacing w:after="60"/>
              <w:jc w:val="center"/>
              <w:rPr>
                <w:rFonts w:ascii="Arial" w:hAnsi="Arial"/>
              </w:rPr>
            </w:pPr>
          </w:p>
          <w:p w14:paraId="6112D408" w14:textId="77777777" w:rsidR="00532284" w:rsidRDefault="00532284" w:rsidP="00CE57D3">
            <w:pPr>
              <w:spacing w:after="60"/>
              <w:jc w:val="center"/>
              <w:rPr>
                <w:rFonts w:ascii="Arial" w:hAnsi="Arial"/>
              </w:rPr>
            </w:pPr>
          </w:p>
          <w:p w14:paraId="2A5D1EC2" w14:textId="77777777" w:rsidR="00532284" w:rsidRDefault="00532284" w:rsidP="00CE57D3">
            <w:pPr>
              <w:spacing w:after="60"/>
              <w:jc w:val="center"/>
              <w:rPr>
                <w:rFonts w:ascii="Arial" w:hAnsi="Arial"/>
              </w:rPr>
            </w:pPr>
          </w:p>
          <w:p w14:paraId="5171C8E0" w14:textId="77777777" w:rsidR="00532284" w:rsidRDefault="00532284" w:rsidP="00CE57D3">
            <w:pPr>
              <w:spacing w:after="60"/>
              <w:jc w:val="center"/>
              <w:rPr>
                <w:rFonts w:ascii="Arial" w:hAnsi="Arial"/>
              </w:rPr>
            </w:pPr>
          </w:p>
          <w:p w14:paraId="15340F65" w14:textId="77777777" w:rsidR="00532284" w:rsidRDefault="00532284" w:rsidP="00CE57D3">
            <w:pPr>
              <w:spacing w:after="60"/>
              <w:jc w:val="center"/>
              <w:rPr>
                <w:rFonts w:ascii="Arial" w:hAnsi="Arial"/>
              </w:rPr>
            </w:pPr>
          </w:p>
        </w:tc>
      </w:tr>
      <w:tr w:rsidR="00532284" w:rsidRPr="002F6DB4" w14:paraId="3BE837C8" w14:textId="77777777" w:rsidTr="00CE57D3">
        <w:trPr>
          <w:gridAfter w:val="1"/>
          <w:wAfter w:w="15" w:type="dxa"/>
        </w:trPr>
        <w:tc>
          <w:tcPr>
            <w:tcW w:w="2896" w:type="dxa"/>
            <w:tcBorders>
              <w:top w:val="single" w:sz="4" w:space="0" w:color="999999"/>
              <w:left w:val="single" w:sz="4" w:space="0" w:color="A6A6A6" w:themeColor="background1" w:themeShade="A6"/>
              <w:bottom w:val="single" w:sz="4" w:space="0" w:color="999999"/>
              <w:right w:val="single" w:sz="4" w:space="0" w:color="A6A6A6" w:themeColor="background1" w:themeShade="A6"/>
            </w:tcBorders>
            <w:noWrap/>
            <w:tcMar>
              <w:top w:w="15" w:type="dxa"/>
              <w:left w:w="15" w:type="dxa"/>
              <w:bottom w:w="0" w:type="dxa"/>
              <w:right w:w="15" w:type="dxa"/>
            </w:tcMar>
          </w:tcPr>
          <w:p w14:paraId="5EE925A2" w14:textId="77777777" w:rsidR="00532284" w:rsidRPr="004750DC" w:rsidRDefault="00532284" w:rsidP="00CE57D3">
            <w:pPr>
              <w:rPr>
                <w:b/>
              </w:rPr>
            </w:pPr>
            <w:r>
              <w:rPr>
                <w:b/>
              </w:rPr>
              <w:t>Accrual Start/End Dates</w:t>
            </w:r>
          </w:p>
        </w:tc>
        <w:tc>
          <w:tcPr>
            <w:tcW w:w="7199" w:type="dxa"/>
            <w:tcBorders>
              <w:top w:val="single" w:sz="4" w:space="0" w:color="999999"/>
              <w:left w:val="single" w:sz="4" w:space="0" w:color="A6A6A6" w:themeColor="background1" w:themeShade="A6"/>
              <w:bottom w:val="single" w:sz="4" w:space="0" w:color="999999"/>
              <w:right w:val="single" w:sz="4" w:space="0" w:color="A6A6A6" w:themeColor="background1" w:themeShade="A6"/>
            </w:tcBorders>
          </w:tcPr>
          <w:p w14:paraId="7B3AB387" w14:textId="6B158B3C" w:rsidR="00532284" w:rsidRDefault="008F76C5" w:rsidP="00BC3C13">
            <w:pPr>
              <w:jc w:val="both"/>
              <w:rPr>
                <w:lang w:eastAsia="en-GB"/>
              </w:rPr>
            </w:pPr>
            <w:r w:rsidRPr="008A5D23">
              <w:rPr>
                <w:lang w:eastAsia="en-GB"/>
              </w:rPr>
              <w:t xml:space="preserve">From Jan 01, 2007 to Dec 31, </w:t>
            </w:r>
            <w:r w:rsidR="008A5D23">
              <w:rPr>
                <w:lang w:eastAsia="en-GB"/>
              </w:rPr>
              <w:t>2010</w:t>
            </w:r>
          </w:p>
          <w:p w14:paraId="06AFD917" w14:textId="470132A5" w:rsidR="00F43383" w:rsidRDefault="00F43383" w:rsidP="00BC3C13">
            <w:pPr>
              <w:jc w:val="both"/>
            </w:pPr>
          </w:p>
          <w:p w14:paraId="7CF042A4" w14:textId="4B4F662E" w:rsidR="00F43383" w:rsidRPr="00F43383" w:rsidRDefault="00F43383" w:rsidP="00F43383">
            <w:pPr>
              <w:rPr>
                <w:b/>
                <w:bCs/>
              </w:rPr>
            </w:pPr>
            <w:bookmarkStart w:id="6" w:name="_Ref486317239"/>
            <w:bookmarkStart w:id="7" w:name="_Toc486318269"/>
            <w:bookmarkStart w:id="8" w:name="_Toc502165526"/>
            <w:r w:rsidRPr="00F43383">
              <w:rPr>
                <w:b/>
                <w:bCs/>
              </w:rPr>
              <w:t>Follow-up Period</w:t>
            </w:r>
            <w:bookmarkEnd w:id="6"/>
            <w:bookmarkEnd w:id="7"/>
            <w:bookmarkEnd w:id="8"/>
            <w:r w:rsidR="008A5D23">
              <w:rPr>
                <w:b/>
                <w:bCs/>
              </w:rPr>
              <w:t>:</w:t>
            </w:r>
          </w:p>
          <w:p w14:paraId="2E5EE548" w14:textId="77777777" w:rsidR="00F43383" w:rsidRDefault="00F43383" w:rsidP="00F43383">
            <w:pPr>
              <w:rPr>
                <w:lang w:eastAsia="en-GB"/>
              </w:rPr>
            </w:pPr>
            <w:r>
              <w:rPr>
                <w:lang w:val="en-GB"/>
              </w:rPr>
              <w:t>There will be a five year follow up period from incident and prevalent</w:t>
            </w:r>
            <w:r w:rsidRPr="00A20DD1">
              <w:rPr>
                <w:lang w:eastAsia="en-GB"/>
              </w:rPr>
              <w:t xml:space="preserve"> chronic </w:t>
            </w:r>
            <w:r w:rsidRPr="006037A8">
              <w:rPr>
                <w:lang w:eastAsia="en-GB"/>
              </w:rPr>
              <w:t>hypoparathyroidism index</w:t>
            </w:r>
            <w:r>
              <w:rPr>
                <w:lang w:eastAsia="en-GB"/>
              </w:rPr>
              <w:t xml:space="preserve"> and a three year follow up period from incident and </w:t>
            </w:r>
            <w:r>
              <w:rPr>
                <w:lang w:val="en-GB"/>
              </w:rPr>
              <w:t>prevalent</w:t>
            </w:r>
            <w:r>
              <w:rPr>
                <w:lang w:eastAsia="en-GB"/>
              </w:rPr>
              <w:t xml:space="preserve"> poorly controlled</w:t>
            </w:r>
            <w:r w:rsidRPr="006037A8">
              <w:rPr>
                <w:lang w:eastAsia="en-GB"/>
              </w:rPr>
              <w:t xml:space="preserve"> hypoparathyroidism index</w:t>
            </w:r>
            <w:r>
              <w:rPr>
                <w:lang w:eastAsia="en-GB"/>
              </w:rPr>
              <w:t>. Respective control patients will be subject to the same period of follow.</w:t>
            </w:r>
          </w:p>
          <w:p w14:paraId="31559956" w14:textId="160631C4" w:rsidR="00F43383" w:rsidRPr="00BC3C13" w:rsidRDefault="00F43383" w:rsidP="00BC3C13">
            <w:pPr>
              <w:jc w:val="both"/>
            </w:pPr>
          </w:p>
        </w:tc>
      </w:tr>
      <w:tr w:rsidR="00532284" w:rsidRPr="002F6DB4" w14:paraId="1F8446D7" w14:textId="77777777" w:rsidTr="00CE57D3">
        <w:trPr>
          <w:gridAfter w:val="1"/>
          <w:wAfter w:w="15" w:type="dxa"/>
        </w:trPr>
        <w:tc>
          <w:tcPr>
            <w:tcW w:w="2896" w:type="dxa"/>
            <w:tcBorders>
              <w:top w:val="single" w:sz="4" w:space="0" w:color="999999"/>
              <w:left w:val="single" w:sz="4" w:space="0" w:color="A6A6A6" w:themeColor="background1" w:themeShade="A6"/>
              <w:bottom w:val="single" w:sz="4" w:space="0" w:color="999999"/>
              <w:right w:val="single" w:sz="4" w:space="0" w:color="A6A6A6" w:themeColor="background1" w:themeShade="A6"/>
            </w:tcBorders>
            <w:noWrap/>
            <w:tcMar>
              <w:top w:w="15" w:type="dxa"/>
              <w:left w:w="15" w:type="dxa"/>
              <w:bottom w:w="0" w:type="dxa"/>
              <w:right w:w="15" w:type="dxa"/>
            </w:tcMar>
          </w:tcPr>
          <w:p w14:paraId="56B0CEB1" w14:textId="77777777" w:rsidR="00532284" w:rsidRPr="004750DC" w:rsidRDefault="00532284" w:rsidP="00CE57D3">
            <w:pPr>
              <w:rPr>
                <w:b/>
              </w:rPr>
            </w:pPr>
            <w:r>
              <w:rPr>
                <w:b/>
              </w:rPr>
              <w:t>Max Follow-up Date</w:t>
            </w:r>
          </w:p>
        </w:tc>
        <w:tc>
          <w:tcPr>
            <w:tcW w:w="7199" w:type="dxa"/>
            <w:tcBorders>
              <w:top w:val="single" w:sz="4" w:space="0" w:color="999999"/>
              <w:left w:val="single" w:sz="4" w:space="0" w:color="A6A6A6" w:themeColor="background1" w:themeShade="A6"/>
              <w:bottom w:val="single" w:sz="4" w:space="0" w:color="999999"/>
              <w:right w:val="single" w:sz="4" w:space="0" w:color="A6A6A6" w:themeColor="background1" w:themeShade="A6"/>
            </w:tcBorders>
          </w:tcPr>
          <w:p w14:paraId="755CFD51" w14:textId="77777777" w:rsidR="00A62690" w:rsidRDefault="008F76C5" w:rsidP="00F43383">
            <w:r>
              <w:t>Dec 31, 2015</w:t>
            </w:r>
          </w:p>
          <w:p w14:paraId="57F650BD" w14:textId="43C19AD0" w:rsidR="00F43383" w:rsidRPr="00BC3C13" w:rsidRDefault="00F43383" w:rsidP="00F43383"/>
        </w:tc>
      </w:tr>
      <w:tr w:rsidR="00532284" w:rsidRPr="002F6DB4" w14:paraId="67A9A614" w14:textId="77777777" w:rsidTr="00CE57D3">
        <w:trPr>
          <w:gridAfter w:val="1"/>
          <w:wAfter w:w="15" w:type="dxa"/>
        </w:trPr>
        <w:tc>
          <w:tcPr>
            <w:tcW w:w="2896" w:type="dxa"/>
            <w:tcBorders>
              <w:top w:val="single" w:sz="4" w:space="0" w:color="999999"/>
              <w:left w:val="single" w:sz="4" w:space="0" w:color="A6A6A6" w:themeColor="background1" w:themeShade="A6"/>
              <w:bottom w:val="single" w:sz="4" w:space="0" w:color="999999"/>
              <w:right w:val="single" w:sz="4" w:space="0" w:color="A6A6A6" w:themeColor="background1" w:themeShade="A6"/>
            </w:tcBorders>
            <w:noWrap/>
            <w:tcMar>
              <w:top w:w="15" w:type="dxa"/>
              <w:left w:w="15" w:type="dxa"/>
              <w:bottom w:w="0" w:type="dxa"/>
              <w:right w:w="15" w:type="dxa"/>
            </w:tcMar>
          </w:tcPr>
          <w:p w14:paraId="309E7A53" w14:textId="77777777" w:rsidR="00532284" w:rsidRPr="004750DC" w:rsidRDefault="00532284" w:rsidP="00CE57D3">
            <w:pPr>
              <w:rPr>
                <w:b/>
              </w:rPr>
            </w:pPr>
            <w:r>
              <w:rPr>
                <w:b/>
              </w:rPr>
              <w:t>When does observation window terminate?</w:t>
            </w:r>
          </w:p>
        </w:tc>
        <w:tc>
          <w:tcPr>
            <w:tcW w:w="7199" w:type="dxa"/>
            <w:tcBorders>
              <w:top w:val="single" w:sz="4" w:space="0" w:color="999999"/>
              <w:left w:val="single" w:sz="4" w:space="0" w:color="A6A6A6" w:themeColor="background1" w:themeShade="A6"/>
              <w:bottom w:val="single" w:sz="4" w:space="0" w:color="999999"/>
              <w:right w:val="single" w:sz="4" w:space="0" w:color="A6A6A6" w:themeColor="background1" w:themeShade="A6"/>
            </w:tcBorders>
          </w:tcPr>
          <w:p w14:paraId="50615190" w14:textId="08AA1622" w:rsidR="00532284" w:rsidRDefault="008F76C5" w:rsidP="009E5DB6">
            <w:pPr>
              <w:pStyle w:val="ListParagraph"/>
              <w:numPr>
                <w:ilvl w:val="0"/>
                <w:numId w:val="7"/>
              </w:numPr>
              <w:jc w:val="both"/>
            </w:pPr>
            <w:r>
              <w:t xml:space="preserve">End of </w:t>
            </w:r>
            <w:proofErr w:type="spellStart"/>
            <w:r>
              <w:t>followup</w:t>
            </w:r>
            <w:proofErr w:type="spellEnd"/>
            <w:r>
              <w:t xml:space="preserve"> period</w:t>
            </w:r>
          </w:p>
          <w:p w14:paraId="5ACCDBD4" w14:textId="77777777" w:rsidR="008F76C5" w:rsidRDefault="008F76C5" w:rsidP="009E5DB6">
            <w:pPr>
              <w:pStyle w:val="ListParagraph"/>
              <w:numPr>
                <w:ilvl w:val="0"/>
                <w:numId w:val="7"/>
              </w:numPr>
              <w:jc w:val="both"/>
            </w:pPr>
            <w:r>
              <w:t>Death of a person</w:t>
            </w:r>
          </w:p>
          <w:p w14:paraId="4AC7A249" w14:textId="0495A3AE" w:rsidR="008A5D23" w:rsidRPr="00BC3C13" w:rsidRDefault="008A5D23" w:rsidP="008A5D23">
            <w:pPr>
              <w:ind w:left="360"/>
              <w:jc w:val="both"/>
            </w:pPr>
          </w:p>
        </w:tc>
      </w:tr>
      <w:tr w:rsidR="00532284" w:rsidRPr="002F6DB4" w14:paraId="7894860F" w14:textId="77777777" w:rsidTr="00CE57D3">
        <w:trPr>
          <w:gridAfter w:val="1"/>
          <w:wAfter w:w="15" w:type="dxa"/>
        </w:trPr>
        <w:tc>
          <w:tcPr>
            <w:tcW w:w="2896" w:type="dxa"/>
            <w:tcBorders>
              <w:top w:val="single" w:sz="4" w:space="0" w:color="999999"/>
              <w:left w:val="single" w:sz="4" w:space="0" w:color="A6A6A6" w:themeColor="background1" w:themeShade="A6"/>
              <w:bottom w:val="single" w:sz="12" w:space="0" w:color="auto"/>
              <w:right w:val="single" w:sz="4" w:space="0" w:color="A6A6A6" w:themeColor="background1" w:themeShade="A6"/>
            </w:tcBorders>
            <w:noWrap/>
            <w:tcMar>
              <w:top w:w="15" w:type="dxa"/>
              <w:left w:w="15" w:type="dxa"/>
              <w:bottom w:w="0" w:type="dxa"/>
              <w:right w:w="15" w:type="dxa"/>
            </w:tcMar>
          </w:tcPr>
          <w:p w14:paraId="606B7D72" w14:textId="77777777" w:rsidR="00532284" w:rsidRDefault="00532284" w:rsidP="00CE57D3">
            <w:pPr>
              <w:rPr>
                <w:b/>
              </w:rPr>
            </w:pPr>
            <w:r>
              <w:rPr>
                <w:b/>
              </w:rPr>
              <w:t>Lookback Window(s)</w:t>
            </w:r>
          </w:p>
          <w:p w14:paraId="72554C1E" w14:textId="173C1241" w:rsidR="006E7F65" w:rsidRPr="005F554C" w:rsidRDefault="006E7F65" w:rsidP="00CE57D3">
            <w:pPr>
              <w:rPr>
                <w:i/>
                <w:sz w:val="16"/>
                <w:szCs w:val="16"/>
              </w:rPr>
            </w:pPr>
            <w:r w:rsidRPr="005F554C">
              <w:rPr>
                <w:i/>
                <w:sz w:val="16"/>
                <w:szCs w:val="16"/>
              </w:rPr>
              <w:t>(</w:t>
            </w:r>
            <w:r w:rsidR="00B72CA5" w:rsidRPr="005F554C">
              <w:rPr>
                <w:i/>
                <w:sz w:val="16"/>
                <w:szCs w:val="16"/>
              </w:rPr>
              <w:t>please e</w:t>
            </w:r>
            <w:r w:rsidRPr="005F554C">
              <w:rPr>
                <w:i/>
                <w:sz w:val="16"/>
                <w:szCs w:val="16"/>
              </w:rPr>
              <w:t xml:space="preserve">nsure lookback windows are defined with start and end dates and in relation to the index </w:t>
            </w:r>
            <w:r w:rsidR="00BB5B0F" w:rsidRPr="005F554C">
              <w:rPr>
                <w:i/>
                <w:sz w:val="16"/>
                <w:szCs w:val="16"/>
              </w:rPr>
              <w:t xml:space="preserve">event </w:t>
            </w:r>
            <w:r w:rsidRPr="005F554C">
              <w:rPr>
                <w:i/>
                <w:sz w:val="16"/>
                <w:szCs w:val="16"/>
              </w:rPr>
              <w:t>date)</w:t>
            </w:r>
          </w:p>
        </w:tc>
        <w:tc>
          <w:tcPr>
            <w:tcW w:w="7199" w:type="dxa"/>
            <w:tcBorders>
              <w:top w:val="single" w:sz="4" w:space="0" w:color="999999"/>
              <w:left w:val="single" w:sz="4" w:space="0" w:color="A6A6A6" w:themeColor="background1" w:themeShade="A6"/>
              <w:bottom w:val="single" w:sz="12" w:space="0" w:color="auto"/>
              <w:right w:val="single" w:sz="4" w:space="0" w:color="A6A6A6" w:themeColor="background1" w:themeShade="A6"/>
            </w:tcBorders>
          </w:tcPr>
          <w:p w14:paraId="3A239EAA" w14:textId="5D240E8F" w:rsidR="00A62690" w:rsidRPr="00F43383" w:rsidRDefault="00A62690" w:rsidP="00F43383">
            <w:pPr>
              <w:rPr>
                <w:b/>
                <w:bCs/>
              </w:rPr>
            </w:pPr>
            <w:bookmarkStart w:id="9" w:name="_Toc454808128"/>
            <w:bookmarkStart w:id="10" w:name="_Toc486318268"/>
            <w:bookmarkStart w:id="11" w:name="_Toc502165525"/>
            <w:r w:rsidRPr="00F43383">
              <w:rPr>
                <w:b/>
                <w:bCs/>
              </w:rPr>
              <w:t>Lookback Period</w:t>
            </w:r>
            <w:bookmarkEnd w:id="9"/>
            <w:bookmarkEnd w:id="10"/>
            <w:bookmarkEnd w:id="11"/>
            <w:r w:rsidR="008A5D23">
              <w:rPr>
                <w:b/>
                <w:bCs/>
              </w:rPr>
              <w:t>:</w:t>
            </w:r>
          </w:p>
          <w:p w14:paraId="038AB388" w14:textId="77777777" w:rsidR="00A62690" w:rsidRDefault="00A62690" w:rsidP="00F43383">
            <w:pPr>
              <w:rPr>
                <w:lang w:eastAsia="en-GB"/>
              </w:rPr>
            </w:pPr>
            <w:r>
              <w:rPr>
                <w:lang w:val="en-GB"/>
              </w:rPr>
              <w:t xml:space="preserve">There will be a 12 month look back from each of the index dates (control, incident </w:t>
            </w:r>
            <w:r w:rsidRPr="00A20DD1">
              <w:rPr>
                <w:lang w:eastAsia="en-GB"/>
              </w:rPr>
              <w:t xml:space="preserve">chronic </w:t>
            </w:r>
            <w:r w:rsidRPr="006037A8">
              <w:rPr>
                <w:lang w:eastAsia="en-GB"/>
              </w:rPr>
              <w:t>hypoparathyroidism index</w:t>
            </w:r>
            <w:r>
              <w:rPr>
                <w:lang w:eastAsia="en-GB"/>
              </w:rPr>
              <w:t xml:space="preserve">, </w:t>
            </w:r>
            <w:r>
              <w:rPr>
                <w:lang w:val="en-GB"/>
              </w:rPr>
              <w:t xml:space="preserve">prevalent </w:t>
            </w:r>
            <w:r w:rsidRPr="00A20DD1">
              <w:rPr>
                <w:lang w:eastAsia="en-GB"/>
              </w:rPr>
              <w:t xml:space="preserve">chronic </w:t>
            </w:r>
            <w:r w:rsidRPr="006037A8">
              <w:rPr>
                <w:lang w:eastAsia="en-GB"/>
              </w:rPr>
              <w:t>hypoparathyroidism index</w:t>
            </w:r>
            <w:r>
              <w:rPr>
                <w:lang w:eastAsia="en-GB"/>
              </w:rPr>
              <w:t xml:space="preserve">, </w:t>
            </w:r>
            <w:r>
              <w:rPr>
                <w:lang w:val="en-GB"/>
              </w:rPr>
              <w:t xml:space="preserve">incident </w:t>
            </w:r>
            <w:r>
              <w:rPr>
                <w:lang w:eastAsia="en-GB"/>
              </w:rPr>
              <w:t>poorly controlled</w:t>
            </w:r>
            <w:r w:rsidRPr="006037A8">
              <w:rPr>
                <w:lang w:eastAsia="en-GB"/>
              </w:rPr>
              <w:t xml:space="preserve"> index</w:t>
            </w:r>
            <w:r>
              <w:rPr>
                <w:lang w:eastAsia="en-GB"/>
              </w:rPr>
              <w:t xml:space="preserve"> and </w:t>
            </w:r>
            <w:r>
              <w:rPr>
                <w:lang w:val="en-GB"/>
              </w:rPr>
              <w:t>prevalent</w:t>
            </w:r>
            <w:r>
              <w:rPr>
                <w:lang w:eastAsia="en-GB"/>
              </w:rPr>
              <w:t xml:space="preserve"> poorly controlled</w:t>
            </w:r>
            <w:r w:rsidRPr="006037A8">
              <w:rPr>
                <w:lang w:eastAsia="en-GB"/>
              </w:rPr>
              <w:t xml:space="preserve"> hypoparathyroidism index</w:t>
            </w:r>
            <w:r>
              <w:rPr>
                <w:lang w:eastAsia="en-GB"/>
              </w:rPr>
              <w:t>).</w:t>
            </w:r>
          </w:p>
          <w:p w14:paraId="4D560898" w14:textId="2217ABAE" w:rsidR="00532284" w:rsidRPr="008F76C5" w:rsidRDefault="00532284" w:rsidP="00BC3C13">
            <w:pPr>
              <w:jc w:val="both"/>
              <w:rPr>
                <w:highlight w:val="yellow"/>
              </w:rPr>
            </w:pPr>
          </w:p>
        </w:tc>
      </w:tr>
    </w:tbl>
    <w:p w14:paraId="35A009EB" w14:textId="77777777" w:rsidR="00997D9E" w:rsidRDefault="00997D9E"/>
    <w:p w14:paraId="42E1C0B0" w14:textId="77777777" w:rsidR="00F504D9" w:rsidRDefault="00F504D9"/>
    <w:tbl>
      <w:tblPr>
        <w:tblW w:w="10110" w:type="dxa"/>
        <w:tblBorders>
          <w:top w:val="single" w:sz="4" w:space="0" w:color="auto"/>
          <w:bottom w:val="single" w:sz="4" w:space="0" w:color="auto"/>
          <w:insideH w:val="single" w:sz="4" w:space="0" w:color="auto"/>
        </w:tblBorders>
        <w:tblLayout w:type="fixed"/>
        <w:tblCellMar>
          <w:left w:w="0" w:type="dxa"/>
          <w:right w:w="0" w:type="dxa"/>
        </w:tblCellMar>
        <w:tblLook w:val="00A0" w:firstRow="1" w:lastRow="0" w:firstColumn="1" w:lastColumn="0" w:noHBand="0" w:noVBand="0"/>
      </w:tblPr>
      <w:tblGrid>
        <w:gridCol w:w="2896"/>
        <w:gridCol w:w="7199"/>
        <w:gridCol w:w="15"/>
      </w:tblGrid>
      <w:tr w:rsidR="00260402" w14:paraId="2C1A8BE2" w14:textId="77777777" w:rsidTr="00C85FB4">
        <w:trPr>
          <w:trHeight w:val="189"/>
          <w:tblHeader/>
        </w:trPr>
        <w:tc>
          <w:tcPr>
            <w:tcW w:w="10110" w:type="dxa"/>
            <w:gridSpan w:val="3"/>
            <w:tcBorders>
              <w:top w:val="double" w:sz="4" w:space="0" w:color="auto"/>
              <w:bottom w:val="double" w:sz="4" w:space="0" w:color="auto"/>
            </w:tcBorders>
            <w:shd w:val="clear" w:color="auto" w:fill="E0E0E0"/>
            <w:noWrap/>
            <w:tcMar>
              <w:top w:w="15" w:type="dxa"/>
              <w:left w:w="15" w:type="dxa"/>
              <w:bottom w:w="0" w:type="dxa"/>
              <w:right w:w="15" w:type="dxa"/>
            </w:tcMar>
            <w:vAlign w:val="center"/>
          </w:tcPr>
          <w:p w14:paraId="171F0EED" w14:textId="0A30CF66" w:rsidR="00443C97" w:rsidRDefault="00532284" w:rsidP="00443C97">
            <w:pPr>
              <w:pStyle w:val="Heading2"/>
            </w:pPr>
            <w:r>
              <w:lastRenderedPageBreak/>
              <w:br w:type="page"/>
            </w:r>
            <w:r w:rsidR="00777861">
              <w:br w:type="page"/>
            </w:r>
            <w:r w:rsidR="00F94B24">
              <w:br w:type="page"/>
            </w:r>
            <w:r w:rsidR="006C02CA">
              <w:br w:type="page"/>
            </w:r>
            <w:r w:rsidR="00260402">
              <w:t>Variable Definitions</w:t>
            </w:r>
            <w:r w:rsidR="00700135">
              <w:t xml:space="preserve"> (add additional rows as needed)</w:t>
            </w:r>
          </w:p>
          <w:p w14:paraId="0D912831" w14:textId="237E6AE1" w:rsidR="00BF5737" w:rsidRPr="005F554C" w:rsidRDefault="00BF5737" w:rsidP="00BF5737">
            <w:pPr>
              <w:rPr>
                <w:i/>
                <w:sz w:val="16"/>
                <w:szCs w:val="16"/>
              </w:rPr>
            </w:pPr>
            <w:r w:rsidRPr="005F554C">
              <w:rPr>
                <w:i/>
                <w:sz w:val="16"/>
                <w:szCs w:val="16"/>
              </w:rPr>
              <w:t>A few key points to keep in mind:</w:t>
            </w:r>
          </w:p>
          <w:p w14:paraId="521A43F3" w14:textId="41110E6E" w:rsidR="00DB6256" w:rsidRPr="009E69B7" w:rsidRDefault="00BF5737" w:rsidP="009E5DB6">
            <w:pPr>
              <w:pStyle w:val="ListParagraph"/>
              <w:numPr>
                <w:ilvl w:val="0"/>
                <w:numId w:val="4"/>
              </w:numPr>
              <w:rPr>
                <w:i/>
                <w:sz w:val="16"/>
                <w:szCs w:val="16"/>
              </w:rPr>
            </w:pPr>
            <w:r w:rsidRPr="005F554C">
              <w:rPr>
                <w:i/>
                <w:sz w:val="16"/>
                <w:szCs w:val="16"/>
              </w:rPr>
              <w:t>P</w:t>
            </w:r>
            <w:r w:rsidR="006E7F65" w:rsidRPr="005F554C">
              <w:rPr>
                <w:i/>
                <w:sz w:val="16"/>
                <w:szCs w:val="16"/>
              </w:rPr>
              <w:t>lease ensure codes</w:t>
            </w:r>
            <w:r w:rsidR="00B72CA5" w:rsidRPr="005F554C">
              <w:rPr>
                <w:i/>
                <w:sz w:val="16"/>
                <w:szCs w:val="16"/>
              </w:rPr>
              <w:t>, data sources,</w:t>
            </w:r>
            <w:r w:rsidR="00E27600" w:rsidRPr="005F554C">
              <w:rPr>
                <w:i/>
                <w:sz w:val="16"/>
                <w:szCs w:val="16"/>
              </w:rPr>
              <w:t xml:space="preserve"> diagnosis types</w:t>
            </w:r>
            <w:r w:rsidR="00B72CA5" w:rsidRPr="005F554C">
              <w:rPr>
                <w:i/>
                <w:sz w:val="16"/>
                <w:szCs w:val="16"/>
              </w:rPr>
              <w:t xml:space="preserve"> and lookback periods</w:t>
            </w:r>
            <w:r w:rsidR="00E27600" w:rsidRPr="005F554C">
              <w:rPr>
                <w:i/>
                <w:sz w:val="16"/>
                <w:szCs w:val="16"/>
              </w:rPr>
              <w:t xml:space="preserve"> (if applicable)</w:t>
            </w:r>
            <w:r w:rsidR="006E7F65" w:rsidRPr="005F554C">
              <w:rPr>
                <w:i/>
                <w:sz w:val="16"/>
                <w:szCs w:val="16"/>
              </w:rPr>
              <w:t xml:space="preserve"> are provided for all definitions</w:t>
            </w:r>
            <w:r w:rsidR="00B72CA5" w:rsidRPr="005F554C">
              <w:rPr>
                <w:i/>
                <w:sz w:val="16"/>
                <w:szCs w:val="16"/>
              </w:rPr>
              <w:t xml:space="preserve"> listed below</w:t>
            </w:r>
            <w:r w:rsidR="006E7F65" w:rsidRPr="005F554C">
              <w:rPr>
                <w:i/>
                <w:sz w:val="16"/>
                <w:szCs w:val="16"/>
              </w:rPr>
              <w:t xml:space="preserve"> and</w:t>
            </w:r>
            <w:r w:rsidRPr="005F554C">
              <w:rPr>
                <w:i/>
                <w:sz w:val="16"/>
                <w:szCs w:val="16"/>
              </w:rPr>
              <w:t xml:space="preserve"> </w:t>
            </w:r>
            <w:r w:rsidR="006E7F65" w:rsidRPr="005F554C">
              <w:rPr>
                <w:i/>
                <w:sz w:val="16"/>
                <w:szCs w:val="16"/>
              </w:rPr>
              <w:t xml:space="preserve">that </w:t>
            </w:r>
            <w:r w:rsidR="00B72CA5" w:rsidRPr="005F554C">
              <w:rPr>
                <w:i/>
                <w:sz w:val="16"/>
                <w:szCs w:val="16"/>
              </w:rPr>
              <w:t xml:space="preserve">codes </w:t>
            </w:r>
            <w:r w:rsidR="006E7F65" w:rsidRPr="005F554C">
              <w:rPr>
                <w:i/>
                <w:sz w:val="16"/>
                <w:szCs w:val="16"/>
              </w:rPr>
              <w:t>are provided in Excel format</w:t>
            </w:r>
            <w:r w:rsidR="00AB19D5">
              <w:rPr>
                <w:i/>
                <w:sz w:val="16"/>
                <w:szCs w:val="16"/>
              </w:rPr>
              <w:t>. If borrowing codes from another project, please list all the codes here</w:t>
            </w:r>
          </w:p>
          <w:p w14:paraId="2C1A8BE1" w14:textId="5FBCD197" w:rsidR="00BF5737" w:rsidRPr="00DB6256" w:rsidRDefault="00E27600" w:rsidP="009E5DB6">
            <w:pPr>
              <w:pStyle w:val="ListParagraph"/>
              <w:numPr>
                <w:ilvl w:val="0"/>
                <w:numId w:val="4"/>
              </w:numPr>
              <w:rPr>
                <w:i/>
              </w:rPr>
            </w:pPr>
            <w:r w:rsidRPr="005F554C">
              <w:rPr>
                <w:i/>
                <w:sz w:val="16"/>
                <w:szCs w:val="16"/>
              </w:rPr>
              <w:t>There are</w:t>
            </w:r>
            <w:r w:rsidR="00BF5737" w:rsidRPr="005F554C">
              <w:rPr>
                <w:i/>
                <w:sz w:val="16"/>
                <w:szCs w:val="16"/>
              </w:rPr>
              <w:t xml:space="preserve"> maximum number of digits that can</w:t>
            </w:r>
            <w:r w:rsidRPr="005F554C">
              <w:rPr>
                <w:i/>
                <w:sz w:val="16"/>
                <w:szCs w:val="16"/>
              </w:rPr>
              <w:t xml:space="preserve"> be</w:t>
            </w:r>
            <w:r w:rsidR="00BF5737" w:rsidRPr="005F554C">
              <w:rPr>
                <w:i/>
                <w:sz w:val="16"/>
                <w:szCs w:val="16"/>
              </w:rPr>
              <w:t xml:space="preserve"> specif</w:t>
            </w:r>
            <w:r w:rsidRPr="005F554C">
              <w:rPr>
                <w:i/>
                <w:sz w:val="16"/>
                <w:szCs w:val="16"/>
              </w:rPr>
              <w:t>ied</w:t>
            </w:r>
            <w:r w:rsidR="00BF5737" w:rsidRPr="005F554C">
              <w:rPr>
                <w:i/>
                <w:sz w:val="16"/>
                <w:szCs w:val="16"/>
              </w:rPr>
              <w:t xml:space="preserve"> using ICES data (ICD 9 CA codes are up to maximum of 4 digits, ICD 10 CA codes </w:t>
            </w:r>
            <w:r w:rsidR="00B861A1" w:rsidRPr="005F554C">
              <w:rPr>
                <w:i/>
                <w:sz w:val="16"/>
                <w:szCs w:val="16"/>
              </w:rPr>
              <w:t>are</w:t>
            </w:r>
            <w:r w:rsidR="00BF5737" w:rsidRPr="005F554C">
              <w:rPr>
                <w:i/>
                <w:sz w:val="16"/>
                <w:szCs w:val="16"/>
              </w:rPr>
              <w:t xml:space="preserve"> </w:t>
            </w:r>
            <w:r w:rsidRPr="005F554C">
              <w:rPr>
                <w:i/>
                <w:sz w:val="16"/>
                <w:szCs w:val="16"/>
              </w:rPr>
              <w:t>6</w:t>
            </w:r>
            <w:r w:rsidR="00BF5737" w:rsidRPr="005F554C">
              <w:rPr>
                <w:i/>
                <w:sz w:val="16"/>
                <w:szCs w:val="16"/>
              </w:rPr>
              <w:t xml:space="preserve"> digits</w:t>
            </w:r>
            <w:r w:rsidR="00935164" w:rsidRPr="005F554C">
              <w:rPr>
                <w:i/>
                <w:sz w:val="16"/>
                <w:szCs w:val="16"/>
              </w:rPr>
              <w:t xml:space="preserve">, OHIP diagnosis codes </w:t>
            </w:r>
            <w:r w:rsidR="00B861A1" w:rsidRPr="005F554C">
              <w:rPr>
                <w:i/>
                <w:sz w:val="16"/>
                <w:szCs w:val="16"/>
              </w:rPr>
              <w:t>are</w:t>
            </w:r>
            <w:r w:rsidR="00935164" w:rsidRPr="005F554C">
              <w:rPr>
                <w:i/>
                <w:sz w:val="16"/>
                <w:szCs w:val="16"/>
              </w:rPr>
              <w:t xml:space="preserve"> 3 digits</w:t>
            </w:r>
            <w:r w:rsidRPr="005F554C">
              <w:rPr>
                <w:i/>
                <w:sz w:val="16"/>
                <w:szCs w:val="16"/>
              </w:rPr>
              <w:t>)</w:t>
            </w:r>
          </w:p>
        </w:tc>
      </w:tr>
      <w:tr w:rsidR="00684899" w:rsidRPr="002F6DB4" w14:paraId="2C1A8BE6" w14:textId="77777777" w:rsidTr="008D6CEC">
        <w:trPr>
          <w:gridAfter w:val="1"/>
          <w:wAfter w:w="15" w:type="dxa"/>
        </w:trPr>
        <w:tc>
          <w:tcPr>
            <w:tcW w:w="2896" w:type="dxa"/>
            <w:tcBorders>
              <w:top w:val="double" w:sz="4" w:space="0" w:color="auto"/>
              <w:bottom w:val="single" w:sz="4" w:space="0" w:color="999999"/>
              <w:right w:val="single" w:sz="4" w:space="0" w:color="A6A6A6" w:themeColor="background1" w:themeShade="A6"/>
            </w:tcBorders>
            <w:noWrap/>
            <w:tcMar>
              <w:top w:w="15" w:type="dxa"/>
              <w:left w:w="15" w:type="dxa"/>
              <w:bottom w:w="0" w:type="dxa"/>
              <w:right w:w="15" w:type="dxa"/>
            </w:tcMar>
          </w:tcPr>
          <w:p w14:paraId="2C1A8BE4" w14:textId="19C236A4" w:rsidR="00684899" w:rsidRPr="00FA1D90" w:rsidRDefault="00684899" w:rsidP="00CD6D99">
            <w:pPr>
              <w:rPr>
                <w:i/>
              </w:rPr>
            </w:pPr>
            <w:r w:rsidRPr="004750DC">
              <w:rPr>
                <w:b/>
              </w:rPr>
              <w:t>Main Exposure or Risk Factor</w:t>
            </w:r>
          </w:p>
        </w:tc>
        <w:tc>
          <w:tcPr>
            <w:tcW w:w="7199" w:type="dxa"/>
            <w:tcBorders>
              <w:top w:val="double" w:sz="4" w:space="0" w:color="auto"/>
              <w:left w:val="single" w:sz="4" w:space="0" w:color="A6A6A6" w:themeColor="background1" w:themeShade="A6"/>
              <w:bottom w:val="single" w:sz="4" w:space="0" w:color="999999"/>
            </w:tcBorders>
          </w:tcPr>
          <w:p w14:paraId="78A363A5" w14:textId="77777777" w:rsidR="00A62690" w:rsidRPr="00F43383" w:rsidRDefault="00A62690" w:rsidP="00F43383">
            <w:pPr>
              <w:rPr>
                <w:b/>
                <w:bCs/>
              </w:rPr>
            </w:pPr>
            <w:bookmarkStart w:id="12" w:name="_Toc486318272"/>
            <w:bookmarkStart w:id="13" w:name="_Toc502165529"/>
            <w:r w:rsidRPr="00F43383">
              <w:rPr>
                <w:b/>
                <w:bCs/>
              </w:rPr>
              <w:t>Paediatric c</w:t>
            </w:r>
            <w:r w:rsidRPr="00F43383">
              <w:rPr>
                <w:b/>
                <w:bCs/>
                <w:lang w:eastAsia="en-GB"/>
              </w:rPr>
              <w:t xml:space="preserve">hronic hypoparathyroidism </w:t>
            </w:r>
            <w:r w:rsidRPr="00F43383">
              <w:rPr>
                <w:b/>
                <w:bCs/>
              </w:rPr>
              <w:t>case</w:t>
            </w:r>
            <w:bookmarkEnd w:id="12"/>
            <w:bookmarkEnd w:id="13"/>
          </w:p>
          <w:p w14:paraId="14BF6689" w14:textId="77777777" w:rsidR="008A5D23" w:rsidRDefault="00A62690" w:rsidP="00F43383">
            <w:pPr>
              <w:rPr>
                <w:lang w:val="en-GB"/>
              </w:rPr>
            </w:pPr>
            <w:r w:rsidRPr="00185A3E">
              <w:rPr>
                <w:lang w:val="en-GB"/>
              </w:rPr>
              <w:t>Patients who are</w:t>
            </w:r>
            <w:r w:rsidR="008A5D23">
              <w:rPr>
                <w:lang w:val="en-GB"/>
              </w:rPr>
              <w:t>:</w:t>
            </w:r>
          </w:p>
          <w:p w14:paraId="7A2FB375" w14:textId="7A917763" w:rsidR="008A5D23" w:rsidRDefault="00A62690" w:rsidP="009E5DB6">
            <w:pPr>
              <w:pStyle w:val="ListParagraph"/>
              <w:numPr>
                <w:ilvl w:val="0"/>
                <w:numId w:val="10"/>
              </w:numPr>
              <w:rPr>
                <w:lang w:eastAsia="en-GB"/>
              </w:rPr>
            </w:pPr>
            <w:r w:rsidRPr="008A5D23">
              <w:rPr>
                <w:lang w:val="en-GB"/>
              </w:rPr>
              <w:t xml:space="preserve">&lt;18 years on their incident </w:t>
            </w:r>
            <w:r>
              <w:rPr>
                <w:lang w:eastAsia="en-GB"/>
              </w:rPr>
              <w:t>chronic h</w:t>
            </w:r>
            <w:r w:rsidRPr="00C329C4">
              <w:rPr>
                <w:lang w:eastAsia="en-GB"/>
              </w:rPr>
              <w:t>ypoparathyroidism</w:t>
            </w:r>
            <w:r w:rsidRPr="0061516B">
              <w:rPr>
                <w:lang w:eastAsia="en-GB"/>
              </w:rPr>
              <w:t xml:space="preserve"> index date</w:t>
            </w:r>
            <w:r w:rsidRPr="008A5D23">
              <w:rPr>
                <w:lang w:val="en-GB"/>
              </w:rPr>
              <w:t xml:space="preserve"> and </w:t>
            </w:r>
            <w:r>
              <w:rPr>
                <w:lang w:eastAsia="en-GB"/>
              </w:rPr>
              <w:t xml:space="preserve">do not have more than one of procedural codes listed in </w:t>
            </w:r>
            <w:r w:rsidR="00C70742">
              <w:rPr>
                <w:lang w:eastAsia="en-GB"/>
              </w:rPr>
              <w:t>Table 4</w:t>
            </w:r>
            <w:r>
              <w:rPr>
                <w:lang w:eastAsia="en-GB"/>
              </w:rPr>
              <w:fldChar w:fldCharType="begin"/>
            </w:r>
            <w:r>
              <w:rPr>
                <w:lang w:eastAsia="en-GB"/>
              </w:rPr>
              <w:instrText xml:space="preserve"> REF _Ref484160733 \h </w:instrText>
            </w:r>
            <w:r w:rsidR="00F43383">
              <w:rPr>
                <w:lang w:eastAsia="en-GB"/>
              </w:rPr>
              <w:instrText xml:space="preserve"> \* MERGEFORMAT </w:instrText>
            </w:r>
            <w:r>
              <w:rPr>
                <w:lang w:eastAsia="en-GB"/>
              </w:rPr>
            </w:r>
            <w:r>
              <w:rPr>
                <w:lang w:eastAsia="en-GB"/>
              </w:rPr>
              <w:fldChar w:fldCharType="end"/>
            </w:r>
            <w:r>
              <w:rPr>
                <w:lang w:eastAsia="en-GB"/>
              </w:rPr>
              <w:t xml:space="preserve"> at any time point, </w:t>
            </w:r>
          </w:p>
          <w:p w14:paraId="675DAAFC" w14:textId="04404B5C" w:rsidR="008A5D23" w:rsidRDefault="00A62690" w:rsidP="009E5DB6">
            <w:pPr>
              <w:pStyle w:val="ListParagraph"/>
              <w:numPr>
                <w:ilvl w:val="0"/>
                <w:numId w:val="10"/>
              </w:numPr>
              <w:rPr>
                <w:lang w:eastAsia="en-GB"/>
              </w:rPr>
            </w:pPr>
            <w:r>
              <w:rPr>
                <w:lang w:eastAsia="en-GB"/>
              </w:rPr>
              <w:t>do not have evidence of h</w:t>
            </w:r>
            <w:r w:rsidRPr="008A6CC9">
              <w:rPr>
                <w:lang w:eastAsia="en-GB"/>
              </w:rPr>
              <w:t>ypoparathyroidism</w:t>
            </w:r>
            <w:r>
              <w:rPr>
                <w:lang w:eastAsia="en-GB"/>
              </w:rPr>
              <w:t xml:space="preserve"> (</w:t>
            </w:r>
            <w:r w:rsidR="00C70742">
              <w:rPr>
                <w:lang w:eastAsia="en-GB"/>
              </w:rPr>
              <w:t>Table 1, 2 and 3</w:t>
            </w:r>
            <w:r>
              <w:rPr>
                <w:lang w:eastAsia="en-GB"/>
              </w:rPr>
              <w:t>) in the year prior to chronic h</w:t>
            </w:r>
            <w:r w:rsidRPr="00C329C4">
              <w:rPr>
                <w:lang w:eastAsia="en-GB"/>
              </w:rPr>
              <w:t>ypoparathyroidism</w:t>
            </w:r>
            <w:r>
              <w:rPr>
                <w:lang w:eastAsia="en-GB"/>
              </w:rPr>
              <w:t xml:space="preserve"> index date</w:t>
            </w:r>
            <w:r w:rsidR="008A5D23">
              <w:rPr>
                <w:lang w:eastAsia="en-GB"/>
              </w:rPr>
              <w:t>,</w:t>
            </w:r>
            <w:r>
              <w:rPr>
                <w:lang w:eastAsia="en-GB"/>
              </w:rPr>
              <w:t xml:space="preserve"> and </w:t>
            </w:r>
          </w:p>
          <w:p w14:paraId="2F32A54E" w14:textId="31D8DB31" w:rsidR="00A62690" w:rsidRDefault="00A62690" w:rsidP="009E5DB6">
            <w:pPr>
              <w:pStyle w:val="ListParagraph"/>
              <w:numPr>
                <w:ilvl w:val="0"/>
                <w:numId w:val="10"/>
              </w:numPr>
              <w:rPr>
                <w:lang w:eastAsia="en-GB"/>
              </w:rPr>
            </w:pPr>
            <w:r>
              <w:rPr>
                <w:lang w:eastAsia="en-GB"/>
              </w:rPr>
              <w:t>do not have insufficient OHIP coverage (evidence of no health insurance in the year prior to incident chronic h</w:t>
            </w:r>
            <w:r w:rsidRPr="00C329C4">
              <w:rPr>
                <w:lang w:eastAsia="en-GB"/>
              </w:rPr>
              <w:t>ypoparathyroidism</w:t>
            </w:r>
            <w:r>
              <w:rPr>
                <w:lang w:eastAsia="en-GB"/>
              </w:rPr>
              <w:t xml:space="preserve"> index date). </w:t>
            </w:r>
          </w:p>
          <w:p w14:paraId="39E7A63B" w14:textId="77777777" w:rsidR="008A5D23" w:rsidRDefault="008A5D23" w:rsidP="00F43383">
            <w:pPr>
              <w:rPr>
                <w:lang w:eastAsia="en-GB"/>
              </w:rPr>
            </w:pPr>
          </w:p>
          <w:p w14:paraId="44FC7E9F" w14:textId="77777777" w:rsidR="00A62690" w:rsidRPr="00F43383" w:rsidRDefault="00A62690" w:rsidP="00F43383">
            <w:pPr>
              <w:rPr>
                <w:b/>
                <w:bCs/>
              </w:rPr>
            </w:pPr>
            <w:bookmarkStart w:id="14" w:name="_Toc486318273"/>
            <w:bookmarkStart w:id="15" w:name="_Toc502165530"/>
            <w:r w:rsidRPr="00F43383">
              <w:rPr>
                <w:b/>
                <w:bCs/>
              </w:rPr>
              <w:t>Adult incident c</w:t>
            </w:r>
            <w:r w:rsidRPr="00F43383">
              <w:rPr>
                <w:b/>
                <w:bCs/>
                <w:lang w:eastAsia="en-GB"/>
              </w:rPr>
              <w:t xml:space="preserve">hronic hypoparathyroidism </w:t>
            </w:r>
            <w:r w:rsidRPr="00F43383">
              <w:rPr>
                <w:b/>
                <w:bCs/>
              </w:rPr>
              <w:t>case</w:t>
            </w:r>
            <w:bookmarkEnd w:id="14"/>
            <w:bookmarkEnd w:id="15"/>
          </w:p>
          <w:p w14:paraId="57879434" w14:textId="77777777" w:rsidR="008A5D23" w:rsidRDefault="00A62690" w:rsidP="00F43383">
            <w:pPr>
              <w:rPr>
                <w:lang w:val="en-GB"/>
              </w:rPr>
            </w:pPr>
            <w:r w:rsidRPr="00185A3E">
              <w:rPr>
                <w:lang w:val="en-GB"/>
              </w:rPr>
              <w:t>Patients who are</w:t>
            </w:r>
            <w:r w:rsidR="008A5D23">
              <w:rPr>
                <w:lang w:val="en-GB"/>
              </w:rPr>
              <w:t>:</w:t>
            </w:r>
          </w:p>
          <w:p w14:paraId="04A5CB99" w14:textId="012B5CC1" w:rsidR="008A5D23" w:rsidRDefault="00A62690" w:rsidP="009E5DB6">
            <w:pPr>
              <w:pStyle w:val="ListParagraph"/>
              <w:numPr>
                <w:ilvl w:val="0"/>
                <w:numId w:val="10"/>
              </w:numPr>
              <w:rPr>
                <w:lang w:eastAsia="en-GB"/>
              </w:rPr>
            </w:pPr>
            <w:r w:rsidRPr="008A5D23">
              <w:rPr>
                <w:lang w:val="en-GB"/>
              </w:rPr>
              <w:t xml:space="preserve"> ≥18 years on their incident </w:t>
            </w:r>
            <w:r>
              <w:rPr>
                <w:lang w:eastAsia="en-GB"/>
              </w:rPr>
              <w:t>chronic h</w:t>
            </w:r>
            <w:r w:rsidRPr="00C329C4">
              <w:rPr>
                <w:lang w:eastAsia="en-GB"/>
              </w:rPr>
              <w:t>ypoparathyroidism</w:t>
            </w:r>
            <w:r w:rsidRPr="0061516B">
              <w:rPr>
                <w:lang w:eastAsia="en-GB"/>
              </w:rPr>
              <w:t xml:space="preserve"> index date</w:t>
            </w:r>
            <w:r w:rsidRPr="008A5D23">
              <w:rPr>
                <w:lang w:val="en-GB"/>
              </w:rPr>
              <w:t xml:space="preserve"> and </w:t>
            </w:r>
            <w:r>
              <w:rPr>
                <w:lang w:eastAsia="en-GB"/>
              </w:rPr>
              <w:t xml:space="preserve">do not have more than one of procedural codes listed in </w:t>
            </w:r>
            <w:r w:rsidR="00C70742">
              <w:rPr>
                <w:lang w:eastAsia="en-GB"/>
              </w:rPr>
              <w:t>Table 4</w:t>
            </w:r>
            <w:r>
              <w:rPr>
                <w:lang w:eastAsia="en-GB"/>
              </w:rPr>
              <w:fldChar w:fldCharType="begin"/>
            </w:r>
            <w:r>
              <w:rPr>
                <w:lang w:eastAsia="en-GB"/>
              </w:rPr>
              <w:instrText xml:space="preserve"> REF _Ref484160733 \h </w:instrText>
            </w:r>
            <w:r w:rsidR="00F43383">
              <w:rPr>
                <w:lang w:eastAsia="en-GB"/>
              </w:rPr>
              <w:instrText xml:space="preserve"> \* MERGEFORMAT </w:instrText>
            </w:r>
            <w:r>
              <w:rPr>
                <w:lang w:eastAsia="en-GB"/>
              </w:rPr>
            </w:r>
            <w:r>
              <w:rPr>
                <w:lang w:eastAsia="en-GB"/>
              </w:rPr>
              <w:fldChar w:fldCharType="end"/>
            </w:r>
            <w:r>
              <w:rPr>
                <w:lang w:eastAsia="en-GB"/>
              </w:rPr>
              <w:t xml:space="preserve"> at any time point, </w:t>
            </w:r>
          </w:p>
          <w:p w14:paraId="490E77E2" w14:textId="202E144A" w:rsidR="008A5D23" w:rsidRDefault="00A62690" w:rsidP="009E5DB6">
            <w:pPr>
              <w:pStyle w:val="ListParagraph"/>
              <w:numPr>
                <w:ilvl w:val="0"/>
                <w:numId w:val="10"/>
              </w:numPr>
              <w:rPr>
                <w:lang w:eastAsia="en-GB"/>
              </w:rPr>
            </w:pPr>
            <w:r>
              <w:rPr>
                <w:lang w:eastAsia="en-GB"/>
              </w:rPr>
              <w:t>do not have evidence of h</w:t>
            </w:r>
            <w:r w:rsidRPr="008A6CC9">
              <w:rPr>
                <w:lang w:eastAsia="en-GB"/>
              </w:rPr>
              <w:t>ypoparathyroidism</w:t>
            </w:r>
            <w:r>
              <w:rPr>
                <w:lang w:eastAsia="en-GB"/>
              </w:rPr>
              <w:t xml:space="preserve"> </w:t>
            </w:r>
            <w:r w:rsidR="00C70742">
              <w:rPr>
                <w:lang w:eastAsia="en-GB"/>
              </w:rPr>
              <w:t xml:space="preserve">(Table 1, 2 and 3) </w:t>
            </w:r>
            <w:r>
              <w:rPr>
                <w:lang w:eastAsia="en-GB"/>
              </w:rPr>
              <w:t>in the year prior to chronic h</w:t>
            </w:r>
            <w:r w:rsidRPr="00C329C4">
              <w:rPr>
                <w:lang w:eastAsia="en-GB"/>
              </w:rPr>
              <w:t>ypoparathyroidism</w:t>
            </w:r>
            <w:r>
              <w:rPr>
                <w:lang w:eastAsia="en-GB"/>
              </w:rPr>
              <w:t xml:space="preserve"> index date</w:t>
            </w:r>
            <w:r w:rsidR="008A5D23">
              <w:rPr>
                <w:lang w:eastAsia="en-GB"/>
              </w:rPr>
              <w:t>,</w:t>
            </w:r>
            <w:r>
              <w:rPr>
                <w:lang w:eastAsia="en-GB"/>
              </w:rPr>
              <w:t xml:space="preserve"> and </w:t>
            </w:r>
          </w:p>
          <w:p w14:paraId="25927913" w14:textId="4B19F856" w:rsidR="00A62690" w:rsidRDefault="00A62690" w:rsidP="009E5DB6">
            <w:pPr>
              <w:pStyle w:val="ListParagraph"/>
              <w:numPr>
                <w:ilvl w:val="0"/>
                <w:numId w:val="10"/>
              </w:numPr>
              <w:rPr>
                <w:lang w:eastAsia="en-GB"/>
              </w:rPr>
            </w:pPr>
            <w:r>
              <w:rPr>
                <w:lang w:eastAsia="en-GB"/>
              </w:rPr>
              <w:t>do not have insufficient OHIP coverage (evidence of no health insurance in the year prior to incident chronic h</w:t>
            </w:r>
            <w:r w:rsidRPr="00C329C4">
              <w:rPr>
                <w:lang w:eastAsia="en-GB"/>
              </w:rPr>
              <w:t>ypoparathyroidism</w:t>
            </w:r>
            <w:r>
              <w:rPr>
                <w:lang w:eastAsia="en-GB"/>
              </w:rPr>
              <w:t xml:space="preserve"> index date).</w:t>
            </w:r>
          </w:p>
          <w:p w14:paraId="3E58CFE9" w14:textId="77777777" w:rsidR="008A5D23" w:rsidRDefault="008A5D23" w:rsidP="008A5D23">
            <w:pPr>
              <w:pStyle w:val="ListParagraph"/>
              <w:ind w:left="1080"/>
              <w:rPr>
                <w:lang w:eastAsia="en-GB"/>
              </w:rPr>
            </w:pPr>
          </w:p>
          <w:p w14:paraId="7F3B832C" w14:textId="77777777" w:rsidR="00A62690" w:rsidRPr="00F43383" w:rsidRDefault="00A62690" w:rsidP="00F43383">
            <w:pPr>
              <w:rPr>
                <w:b/>
                <w:bCs/>
              </w:rPr>
            </w:pPr>
            <w:bookmarkStart w:id="16" w:name="_Toc486318274"/>
            <w:bookmarkStart w:id="17" w:name="_Toc502165531"/>
            <w:r w:rsidRPr="00F43383">
              <w:rPr>
                <w:b/>
                <w:bCs/>
              </w:rPr>
              <w:t>Adult incident c</w:t>
            </w:r>
            <w:r w:rsidRPr="00F43383">
              <w:rPr>
                <w:b/>
                <w:bCs/>
                <w:lang w:eastAsia="en-GB"/>
              </w:rPr>
              <w:t xml:space="preserve">hronic hypoparathyroidism </w:t>
            </w:r>
            <w:r w:rsidRPr="00F43383">
              <w:rPr>
                <w:b/>
                <w:bCs/>
              </w:rPr>
              <w:t>control</w:t>
            </w:r>
            <w:bookmarkEnd w:id="16"/>
            <w:bookmarkEnd w:id="17"/>
          </w:p>
          <w:p w14:paraId="37F6A207" w14:textId="77777777" w:rsidR="008A5D23" w:rsidRDefault="00A62690" w:rsidP="00F43383">
            <w:pPr>
              <w:rPr>
                <w:lang w:val="en-GB"/>
              </w:rPr>
            </w:pPr>
            <w:r w:rsidRPr="00185A3E">
              <w:rPr>
                <w:lang w:val="en-GB"/>
              </w:rPr>
              <w:t>Patients who are</w:t>
            </w:r>
            <w:r w:rsidR="008A5D23">
              <w:rPr>
                <w:lang w:val="en-GB"/>
              </w:rPr>
              <w:t xml:space="preserve">: </w:t>
            </w:r>
          </w:p>
          <w:p w14:paraId="6CFCE932" w14:textId="590C48CD" w:rsidR="008A5D23" w:rsidRDefault="00A62690" w:rsidP="009E5DB6">
            <w:pPr>
              <w:pStyle w:val="ListParagraph"/>
              <w:numPr>
                <w:ilvl w:val="0"/>
                <w:numId w:val="10"/>
              </w:numPr>
              <w:rPr>
                <w:lang w:eastAsia="en-GB"/>
              </w:rPr>
            </w:pPr>
            <w:r w:rsidRPr="008A5D23">
              <w:rPr>
                <w:lang w:val="en-GB"/>
              </w:rPr>
              <w:t xml:space="preserve">≥18 years on their control </w:t>
            </w:r>
            <w:r w:rsidRPr="0061516B">
              <w:rPr>
                <w:lang w:eastAsia="en-GB"/>
              </w:rPr>
              <w:t>index date</w:t>
            </w:r>
            <w:r w:rsidRPr="008A5D23">
              <w:rPr>
                <w:lang w:val="en-GB"/>
              </w:rPr>
              <w:t xml:space="preserve"> (where they have been matched to an incident </w:t>
            </w:r>
            <w:r>
              <w:rPr>
                <w:lang w:eastAsia="en-GB"/>
              </w:rPr>
              <w:t>chronic h</w:t>
            </w:r>
            <w:r w:rsidRPr="00C329C4">
              <w:rPr>
                <w:lang w:eastAsia="en-GB"/>
              </w:rPr>
              <w:t>ypoparathyroidism</w:t>
            </w:r>
            <w:r w:rsidRPr="0061516B">
              <w:rPr>
                <w:lang w:eastAsia="en-GB"/>
              </w:rPr>
              <w:t xml:space="preserve"> </w:t>
            </w:r>
            <w:r>
              <w:rPr>
                <w:lang w:eastAsia="en-GB"/>
              </w:rPr>
              <w:t xml:space="preserve">patient) </w:t>
            </w:r>
            <w:r w:rsidRPr="008A5D23">
              <w:rPr>
                <w:lang w:val="en-GB"/>
              </w:rPr>
              <w:t xml:space="preserve">and </w:t>
            </w:r>
            <w:r>
              <w:rPr>
                <w:lang w:eastAsia="en-GB"/>
              </w:rPr>
              <w:t xml:space="preserve">do not have more than one of procedural codes listed in </w:t>
            </w:r>
            <w:r w:rsidR="00C70742">
              <w:rPr>
                <w:lang w:eastAsia="en-GB"/>
              </w:rPr>
              <w:t>Table 4</w:t>
            </w:r>
            <w:r>
              <w:rPr>
                <w:lang w:eastAsia="en-GB"/>
              </w:rPr>
              <w:fldChar w:fldCharType="begin"/>
            </w:r>
            <w:r>
              <w:rPr>
                <w:lang w:eastAsia="en-GB"/>
              </w:rPr>
              <w:instrText xml:space="preserve"> REF _Ref484160733 \h </w:instrText>
            </w:r>
            <w:r w:rsidR="00F43383">
              <w:rPr>
                <w:lang w:eastAsia="en-GB"/>
              </w:rPr>
              <w:instrText xml:space="preserve"> \* MERGEFORMAT </w:instrText>
            </w:r>
            <w:r>
              <w:rPr>
                <w:lang w:eastAsia="en-GB"/>
              </w:rPr>
            </w:r>
            <w:r>
              <w:rPr>
                <w:lang w:eastAsia="en-GB"/>
              </w:rPr>
              <w:fldChar w:fldCharType="end"/>
            </w:r>
            <w:r>
              <w:rPr>
                <w:lang w:eastAsia="en-GB"/>
              </w:rPr>
              <w:t xml:space="preserve"> at any time point, </w:t>
            </w:r>
          </w:p>
          <w:p w14:paraId="739E8FF1" w14:textId="26FD8E5F" w:rsidR="008A5D23" w:rsidRDefault="00A62690" w:rsidP="009E5DB6">
            <w:pPr>
              <w:pStyle w:val="ListParagraph"/>
              <w:numPr>
                <w:ilvl w:val="0"/>
                <w:numId w:val="10"/>
              </w:numPr>
              <w:rPr>
                <w:lang w:eastAsia="en-GB"/>
              </w:rPr>
            </w:pPr>
            <w:r>
              <w:rPr>
                <w:lang w:eastAsia="en-GB"/>
              </w:rPr>
              <w:t>do not have evidence of h</w:t>
            </w:r>
            <w:r w:rsidRPr="008A6CC9">
              <w:rPr>
                <w:lang w:eastAsia="en-GB"/>
              </w:rPr>
              <w:t>ypoparathyroidism</w:t>
            </w:r>
            <w:r>
              <w:rPr>
                <w:lang w:eastAsia="en-GB"/>
              </w:rPr>
              <w:t xml:space="preserve"> </w:t>
            </w:r>
            <w:r w:rsidR="00C70742">
              <w:rPr>
                <w:lang w:eastAsia="en-GB"/>
              </w:rPr>
              <w:t xml:space="preserve">(Table 1, 2 and 3) </w:t>
            </w:r>
            <w:r>
              <w:rPr>
                <w:lang w:eastAsia="en-GB"/>
              </w:rPr>
              <w:t>between 1 January 2007 and 31 December 2010</w:t>
            </w:r>
            <w:r w:rsidR="008A5D23">
              <w:rPr>
                <w:lang w:eastAsia="en-GB"/>
              </w:rPr>
              <w:t xml:space="preserve">, </w:t>
            </w:r>
            <w:r>
              <w:rPr>
                <w:lang w:eastAsia="en-GB"/>
              </w:rPr>
              <w:t xml:space="preserve">and </w:t>
            </w:r>
          </w:p>
          <w:p w14:paraId="292434CF" w14:textId="4A5B7C29" w:rsidR="00A62690" w:rsidRDefault="008A5D23" w:rsidP="009E5DB6">
            <w:pPr>
              <w:pStyle w:val="ListParagraph"/>
              <w:numPr>
                <w:ilvl w:val="0"/>
                <w:numId w:val="10"/>
              </w:numPr>
              <w:rPr>
                <w:lang w:eastAsia="en-GB"/>
              </w:rPr>
            </w:pPr>
            <w:r>
              <w:rPr>
                <w:lang w:eastAsia="en-GB"/>
              </w:rPr>
              <w:t>d</w:t>
            </w:r>
            <w:r w:rsidR="00A62690">
              <w:rPr>
                <w:lang w:eastAsia="en-GB"/>
              </w:rPr>
              <w:t>o not have insufficient OHIP coverage (evidence of no health insurance in the year prior to control index date).</w:t>
            </w:r>
          </w:p>
          <w:p w14:paraId="32B6FC6C" w14:textId="77777777" w:rsidR="008A5D23" w:rsidRDefault="008A5D23" w:rsidP="008A5D23">
            <w:pPr>
              <w:pStyle w:val="ListParagraph"/>
              <w:ind w:left="1080"/>
              <w:rPr>
                <w:lang w:eastAsia="en-GB"/>
              </w:rPr>
            </w:pPr>
          </w:p>
          <w:p w14:paraId="6D0AAC8F" w14:textId="77777777" w:rsidR="00A62690" w:rsidRPr="00F43383" w:rsidRDefault="00A62690" w:rsidP="00F43383">
            <w:pPr>
              <w:rPr>
                <w:b/>
                <w:bCs/>
              </w:rPr>
            </w:pPr>
            <w:bookmarkStart w:id="18" w:name="_Toc486318275"/>
            <w:bookmarkStart w:id="19" w:name="_Toc502165532"/>
            <w:r w:rsidRPr="00F43383">
              <w:rPr>
                <w:b/>
                <w:bCs/>
              </w:rPr>
              <w:t>Adult prevalent c</w:t>
            </w:r>
            <w:r w:rsidRPr="00F43383">
              <w:rPr>
                <w:b/>
                <w:bCs/>
                <w:lang w:eastAsia="en-GB"/>
              </w:rPr>
              <w:t xml:space="preserve">hronic hypoparathyroidism </w:t>
            </w:r>
            <w:r w:rsidRPr="00F43383">
              <w:rPr>
                <w:b/>
                <w:bCs/>
              </w:rPr>
              <w:t>case</w:t>
            </w:r>
            <w:bookmarkEnd w:id="18"/>
            <w:bookmarkEnd w:id="19"/>
          </w:p>
          <w:p w14:paraId="109506B5" w14:textId="77777777" w:rsidR="008A5D23" w:rsidRDefault="00A62690" w:rsidP="00F43383">
            <w:pPr>
              <w:rPr>
                <w:lang w:val="en-GB"/>
              </w:rPr>
            </w:pPr>
            <w:r w:rsidRPr="00185A3E">
              <w:rPr>
                <w:lang w:val="en-GB"/>
              </w:rPr>
              <w:t>Patients who are</w:t>
            </w:r>
            <w:r w:rsidR="008A5D23">
              <w:rPr>
                <w:lang w:val="en-GB"/>
              </w:rPr>
              <w:t xml:space="preserve">: </w:t>
            </w:r>
            <w:r w:rsidRPr="00185A3E">
              <w:rPr>
                <w:lang w:val="en-GB"/>
              </w:rPr>
              <w:t xml:space="preserve"> </w:t>
            </w:r>
          </w:p>
          <w:p w14:paraId="2C0BBE97" w14:textId="3EFE0486" w:rsidR="008A5D23" w:rsidRDefault="00A62690" w:rsidP="009E5DB6">
            <w:pPr>
              <w:pStyle w:val="ListParagraph"/>
              <w:numPr>
                <w:ilvl w:val="0"/>
                <w:numId w:val="10"/>
              </w:numPr>
              <w:rPr>
                <w:lang w:eastAsia="en-GB"/>
              </w:rPr>
            </w:pPr>
            <w:r w:rsidRPr="008A5D23">
              <w:rPr>
                <w:lang w:val="en-GB"/>
              </w:rPr>
              <w:t xml:space="preserve">≥18 years on their prevalent </w:t>
            </w:r>
            <w:r>
              <w:rPr>
                <w:lang w:eastAsia="en-GB"/>
              </w:rPr>
              <w:t>chronic h</w:t>
            </w:r>
            <w:r w:rsidRPr="00C329C4">
              <w:rPr>
                <w:lang w:eastAsia="en-GB"/>
              </w:rPr>
              <w:t>ypoparathyroidism</w:t>
            </w:r>
            <w:r w:rsidRPr="0061516B">
              <w:rPr>
                <w:lang w:eastAsia="en-GB"/>
              </w:rPr>
              <w:t xml:space="preserve"> index date</w:t>
            </w:r>
            <w:r w:rsidRPr="008A5D23">
              <w:rPr>
                <w:lang w:val="en-GB"/>
              </w:rPr>
              <w:t xml:space="preserve"> and </w:t>
            </w:r>
            <w:r>
              <w:rPr>
                <w:lang w:eastAsia="en-GB"/>
              </w:rPr>
              <w:t xml:space="preserve">do not have more than one of procedural codes listed in </w:t>
            </w:r>
            <w:r w:rsidR="00C70742">
              <w:rPr>
                <w:lang w:eastAsia="en-GB"/>
              </w:rPr>
              <w:t>Table 4</w:t>
            </w:r>
            <w:r>
              <w:rPr>
                <w:lang w:eastAsia="en-GB"/>
              </w:rPr>
              <w:fldChar w:fldCharType="begin"/>
            </w:r>
            <w:r>
              <w:rPr>
                <w:lang w:eastAsia="en-GB"/>
              </w:rPr>
              <w:instrText xml:space="preserve"> REF _Ref484160733 \h </w:instrText>
            </w:r>
            <w:r w:rsidR="00F43383">
              <w:rPr>
                <w:lang w:eastAsia="en-GB"/>
              </w:rPr>
              <w:instrText xml:space="preserve"> \* MERGEFORMAT </w:instrText>
            </w:r>
            <w:r>
              <w:rPr>
                <w:lang w:eastAsia="en-GB"/>
              </w:rPr>
            </w:r>
            <w:r>
              <w:rPr>
                <w:lang w:eastAsia="en-GB"/>
              </w:rPr>
              <w:fldChar w:fldCharType="end"/>
            </w:r>
            <w:r>
              <w:rPr>
                <w:lang w:eastAsia="en-GB"/>
              </w:rPr>
              <w:t xml:space="preserve"> at any time point, </w:t>
            </w:r>
          </w:p>
          <w:p w14:paraId="3122FE01" w14:textId="2C0CB080" w:rsidR="008A5D23" w:rsidRDefault="00A62690" w:rsidP="009E5DB6">
            <w:pPr>
              <w:pStyle w:val="ListParagraph"/>
              <w:numPr>
                <w:ilvl w:val="0"/>
                <w:numId w:val="10"/>
              </w:numPr>
              <w:rPr>
                <w:lang w:eastAsia="en-GB"/>
              </w:rPr>
            </w:pPr>
            <w:r>
              <w:rPr>
                <w:lang w:eastAsia="en-GB"/>
              </w:rPr>
              <w:t>do not have evidence of h</w:t>
            </w:r>
            <w:r w:rsidRPr="008A6CC9">
              <w:rPr>
                <w:lang w:eastAsia="en-GB"/>
              </w:rPr>
              <w:t>ypoparathyroidism</w:t>
            </w:r>
            <w:r>
              <w:rPr>
                <w:lang w:eastAsia="en-GB"/>
              </w:rPr>
              <w:t xml:space="preserve"> </w:t>
            </w:r>
            <w:r w:rsidR="009D1245">
              <w:rPr>
                <w:lang w:eastAsia="en-GB"/>
              </w:rPr>
              <w:t>(</w:t>
            </w:r>
            <w:r w:rsidR="00C70742">
              <w:rPr>
                <w:lang w:eastAsia="en-GB"/>
              </w:rPr>
              <w:t>Table 2</w:t>
            </w:r>
            <w:r>
              <w:rPr>
                <w:lang w:eastAsia="en-GB"/>
              </w:rPr>
              <w:fldChar w:fldCharType="begin"/>
            </w:r>
            <w:r>
              <w:rPr>
                <w:lang w:eastAsia="en-GB"/>
              </w:rPr>
              <w:instrText xml:space="preserve"> REF _Ref483323740 \h </w:instrText>
            </w:r>
            <w:r w:rsidR="00F43383">
              <w:rPr>
                <w:lang w:eastAsia="en-GB"/>
              </w:rPr>
              <w:instrText xml:space="preserve"> \* MERGEFORMAT </w:instrText>
            </w:r>
            <w:r>
              <w:rPr>
                <w:lang w:eastAsia="en-GB"/>
              </w:rPr>
            </w:r>
            <w:r>
              <w:rPr>
                <w:lang w:eastAsia="en-GB"/>
              </w:rPr>
              <w:fldChar w:fldCharType="end"/>
            </w:r>
            <w:r>
              <w:rPr>
                <w:lang w:eastAsia="en-GB"/>
              </w:rPr>
              <w:t>) in the year prior to chronic h</w:t>
            </w:r>
            <w:r w:rsidRPr="00C329C4">
              <w:rPr>
                <w:lang w:eastAsia="en-GB"/>
              </w:rPr>
              <w:t>ypoparathyroidism</w:t>
            </w:r>
            <w:r>
              <w:rPr>
                <w:lang w:eastAsia="en-GB"/>
              </w:rPr>
              <w:t xml:space="preserve"> index date</w:t>
            </w:r>
            <w:r w:rsidR="008A5D23">
              <w:rPr>
                <w:lang w:eastAsia="en-GB"/>
              </w:rPr>
              <w:t>,</w:t>
            </w:r>
            <w:r>
              <w:rPr>
                <w:lang w:eastAsia="en-GB"/>
              </w:rPr>
              <w:t xml:space="preserve"> and </w:t>
            </w:r>
          </w:p>
          <w:p w14:paraId="4D8ACF1A" w14:textId="3C7A0BC9" w:rsidR="00A62690" w:rsidRDefault="00A62690" w:rsidP="009E5DB6">
            <w:pPr>
              <w:pStyle w:val="ListParagraph"/>
              <w:numPr>
                <w:ilvl w:val="0"/>
                <w:numId w:val="10"/>
              </w:numPr>
              <w:rPr>
                <w:lang w:eastAsia="en-GB"/>
              </w:rPr>
            </w:pPr>
            <w:r>
              <w:rPr>
                <w:lang w:eastAsia="en-GB"/>
              </w:rPr>
              <w:t xml:space="preserve">do not have insufficient OHIP coverage (evidence of no health insurance in the year prior to </w:t>
            </w:r>
            <w:r w:rsidRPr="008A5D23">
              <w:rPr>
                <w:lang w:val="en-GB"/>
              </w:rPr>
              <w:t>prevalent</w:t>
            </w:r>
            <w:r>
              <w:rPr>
                <w:lang w:eastAsia="en-GB"/>
              </w:rPr>
              <w:t xml:space="preserve"> chronic h</w:t>
            </w:r>
            <w:r w:rsidRPr="00C329C4">
              <w:rPr>
                <w:lang w:eastAsia="en-GB"/>
              </w:rPr>
              <w:t>ypoparathyroidism</w:t>
            </w:r>
            <w:r>
              <w:rPr>
                <w:lang w:eastAsia="en-GB"/>
              </w:rPr>
              <w:t xml:space="preserve"> index date).</w:t>
            </w:r>
          </w:p>
          <w:p w14:paraId="46F87FA4" w14:textId="77777777" w:rsidR="008A5D23" w:rsidRDefault="008A5D23" w:rsidP="00F43383">
            <w:pPr>
              <w:rPr>
                <w:b/>
                <w:bCs/>
              </w:rPr>
            </w:pPr>
            <w:bookmarkStart w:id="20" w:name="_Toc486318276"/>
            <w:bookmarkStart w:id="21" w:name="_Toc502165533"/>
          </w:p>
          <w:p w14:paraId="6137FAAD" w14:textId="267739FE" w:rsidR="00A62690" w:rsidRPr="00F43383" w:rsidRDefault="00A62690" w:rsidP="00F43383">
            <w:pPr>
              <w:rPr>
                <w:b/>
                <w:bCs/>
              </w:rPr>
            </w:pPr>
            <w:proofErr w:type="spellStart"/>
            <w:r w:rsidRPr="00F43383">
              <w:rPr>
                <w:b/>
                <w:bCs/>
              </w:rPr>
              <w:t>Paediatric</w:t>
            </w:r>
            <w:proofErr w:type="spellEnd"/>
            <w:r w:rsidRPr="00F43383">
              <w:rPr>
                <w:b/>
                <w:bCs/>
              </w:rPr>
              <w:t xml:space="preserve"> poorly controlled</w:t>
            </w:r>
            <w:r w:rsidRPr="00F43383">
              <w:rPr>
                <w:b/>
                <w:bCs/>
                <w:lang w:eastAsia="en-GB"/>
              </w:rPr>
              <w:t xml:space="preserve"> hypoparathyroidism </w:t>
            </w:r>
            <w:r w:rsidRPr="00F43383">
              <w:rPr>
                <w:b/>
                <w:bCs/>
              </w:rPr>
              <w:t>case</w:t>
            </w:r>
            <w:bookmarkEnd w:id="20"/>
            <w:bookmarkEnd w:id="21"/>
          </w:p>
          <w:p w14:paraId="63918965" w14:textId="77777777" w:rsidR="008A5D23" w:rsidRDefault="00A62690" w:rsidP="00F43383">
            <w:pPr>
              <w:rPr>
                <w:lang w:val="en-GB"/>
              </w:rPr>
            </w:pPr>
            <w:r w:rsidRPr="00185A3E">
              <w:rPr>
                <w:lang w:val="en-GB"/>
              </w:rPr>
              <w:t>Patients who are</w:t>
            </w:r>
            <w:r w:rsidR="008A5D23">
              <w:rPr>
                <w:lang w:val="en-GB"/>
              </w:rPr>
              <w:t xml:space="preserve">: </w:t>
            </w:r>
            <w:r w:rsidRPr="00185A3E">
              <w:rPr>
                <w:lang w:val="en-GB"/>
              </w:rPr>
              <w:t xml:space="preserve"> </w:t>
            </w:r>
          </w:p>
          <w:p w14:paraId="265C7FA1" w14:textId="730DC859" w:rsidR="008A5D23" w:rsidRDefault="00A62690" w:rsidP="009E5DB6">
            <w:pPr>
              <w:pStyle w:val="ListParagraph"/>
              <w:numPr>
                <w:ilvl w:val="0"/>
                <w:numId w:val="10"/>
              </w:numPr>
              <w:rPr>
                <w:lang w:eastAsia="en-GB"/>
              </w:rPr>
            </w:pPr>
            <w:r w:rsidRPr="008A5D23">
              <w:rPr>
                <w:lang w:val="en-GB"/>
              </w:rPr>
              <w:t xml:space="preserve">&lt;18 years on their incident </w:t>
            </w:r>
            <w:r>
              <w:rPr>
                <w:lang w:eastAsia="en-GB"/>
              </w:rPr>
              <w:t>poorly controlled h</w:t>
            </w:r>
            <w:r w:rsidRPr="00C329C4">
              <w:rPr>
                <w:lang w:eastAsia="en-GB"/>
              </w:rPr>
              <w:t>ypoparathyroidism</w:t>
            </w:r>
            <w:r w:rsidRPr="0061516B">
              <w:rPr>
                <w:lang w:eastAsia="en-GB"/>
              </w:rPr>
              <w:t xml:space="preserve"> index date</w:t>
            </w:r>
            <w:r w:rsidRPr="008A5D23">
              <w:rPr>
                <w:lang w:val="en-GB"/>
              </w:rPr>
              <w:t xml:space="preserve"> and </w:t>
            </w:r>
            <w:r>
              <w:rPr>
                <w:lang w:eastAsia="en-GB"/>
              </w:rPr>
              <w:t xml:space="preserve">do not have more than one of procedural codes listed in </w:t>
            </w:r>
            <w:r w:rsidR="00C70742">
              <w:rPr>
                <w:lang w:eastAsia="en-GB"/>
              </w:rPr>
              <w:t>Table 4</w:t>
            </w:r>
            <w:r>
              <w:rPr>
                <w:lang w:eastAsia="en-GB"/>
              </w:rPr>
              <w:fldChar w:fldCharType="begin"/>
            </w:r>
            <w:r>
              <w:rPr>
                <w:lang w:eastAsia="en-GB"/>
              </w:rPr>
              <w:instrText xml:space="preserve"> REF _Ref484160733 \h </w:instrText>
            </w:r>
            <w:r w:rsidR="00F43383">
              <w:rPr>
                <w:lang w:eastAsia="en-GB"/>
              </w:rPr>
              <w:instrText xml:space="preserve"> \* MERGEFORMAT </w:instrText>
            </w:r>
            <w:r>
              <w:rPr>
                <w:lang w:eastAsia="en-GB"/>
              </w:rPr>
            </w:r>
            <w:r>
              <w:rPr>
                <w:lang w:eastAsia="en-GB"/>
              </w:rPr>
              <w:fldChar w:fldCharType="end"/>
            </w:r>
            <w:r>
              <w:rPr>
                <w:lang w:eastAsia="en-GB"/>
              </w:rPr>
              <w:t xml:space="preserve"> at any time point</w:t>
            </w:r>
            <w:r w:rsidR="008A5D23">
              <w:rPr>
                <w:lang w:eastAsia="en-GB"/>
              </w:rPr>
              <w:t>,</w:t>
            </w:r>
            <w:r>
              <w:rPr>
                <w:lang w:eastAsia="en-GB"/>
              </w:rPr>
              <w:t xml:space="preserve"> and </w:t>
            </w:r>
          </w:p>
          <w:p w14:paraId="3B989DB5" w14:textId="4870B1A9" w:rsidR="00A62690" w:rsidRDefault="00A62690" w:rsidP="009E5DB6">
            <w:pPr>
              <w:pStyle w:val="ListParagraph"/>
              <w:numPr>
                <w:ilvl w:val="0"/>
                <w:numId w:val="10"/>
              </w:numPr>
              <w:rPr>
                <w:lang w:eastAsia="en-GB"/>
              </w:rPr>
            </w:pPr>
            <w:r>
              <w:rPr>
                <w:lang w:eastAsia="en-GB"/>
              </w:rPr>
              <w:lastRenderedPageBreak/>
              <w:t>do not have insufficient OHIP coverage (evidence of no health insurance in the year prior to incident poorly controlled h</w:t>
            </w:r>
            <w:r w:rsidRPr="00C329C4">
              <w:rPr>
                <w:lang w:eastAsia="en-GB"/>
              </w:rPr>
              <w:t>ypoparathyroidism</w:t>
            </w:r>
            <w:r>
              <w:rPr>
                <w:lang w:eastAsia="en-GB"/>
              </w:rPr>
              <w:t xml:space="preserve"> index date).</w:t>
            </w:r>
          </w:p>
          <w:p w14:paraId="1D409A1D" w14:textId="77777777" w:rsidR="008A5D23" w:rsidRDefault="008A5D23" w:rsidP="00F43383">
            <w:pPr>
              <w:rPr>
                <w:b/>
                <w:bCs/>
              </w:rPr>
            </w:pPr>
            <w:bookmarkStart w:id="22" w:name="_Toc453588825"/>
            <w:bookmarkStart w:id="23" w:name="_Toc486318277"/>
            <w:bookmarkStart w:id="24" w:name="_Toc502165534"/>
            <w:bookmarkEnd w:id="22"/>
          </w:p>
          <w:p w14:paraId="68E700F1" w14:textId="45991828" w:rsidR="00A62690" w:rsidRPr="00F43383" w:rsidRDefault="00A62690" w:rsidP="00F43383">
            <w:pPr>
              <w:rPr>
                <w:b/>
                <w:bCs/>
              </w:rPr>
            </w:pPr>
            <w:r w:rsidRPr="00F43383">
              <w:rPr>
                <w:b/>
                <w:bCs/>
              </w:rPr>
              <w:t>Adult incident poorly controlled</w:t>
            </w:r>
            <w:r w:rsidRPr="00F43383">
              <w:rPr>
                <w:b/>
                <w:bCs/>
                <w:lang w:eastAsia="en-GB"/>
              </w:rPr>
              <w:t xml:space="preserve"> hypoparathyroidism </w:t>
            </w:r>
            <w:r w:rsidRPr="00F43383">
              <w:rPr>
                <w:b/>
                <w:bCs/>
              </w:rPr>
              <w:t>case</w:t>
            </w:r>
            <w:bookmarkEnd w:id="23"/>
            <w:bookmarkEnd w:id="24"/>
          </w:p>
          <w:p w14:paraId="7847FFD0" w14:textId="77777777" w:rsidR="008A5D23" w:rsidRDefault="00A62690" w:rsidP="00F43383">
            <w:pPr>
              <w:rPr>
                <w:lang w:val="en-GB"/>
              </w:rPr>
            </w:pPr>
            <w:r w:rsidRPr="00185A3E">
              <w:rPr>
                <w:lang w:val="en-GB"/>
              </w:rPr>
              <w:t>Patients who are</w:t>
            </w:r>
            <w:r w:rsidR="008A5D23">
              <w:rPr>
                <w:lang w:val="en-GB"/>
              </w:rPr>
              <w:t>:</w:t>
            </w:r>
            <w:r w:rsidRPr="00185A3E">
              <w:rPr>
                <w:lang w:val="en-GB"/>
              </w:rPr>
              <w:t xml:space="preserve"> </w:t>
            </w:r>
          </w:p>
          <w:p w14:paraId="37664C8E" w14:textId="3CFA7E76" w:rsidR="008A5D23" w:rsidRDefault="00A62690" w:rsidP="009E5DB6">
            <w:pPr>
              <w:pStyle w:val="ListParagraph"/>
              <w:numPr>
                <w:ilvl w:val="0"/>
                <w:numId w:val="10"/>
              </w:numPr>
              <w:rPr>
                <w:lang w:eastAsia="en-GB"/>
              </w:rPr>
            </w:pPr>
            <w:r w:rsidRPr="008A5D23">
              <w:rPr>
                <w:lang w:val="en-GB"/>
              </w:rPr>
              <w:t xml:space="preserve">≥18 years on their incident </w:t>
            </w:r>
            <w:r>
              <w:rPr>
                <w:lang w:eastAsia="en-GB"/>
              </w:rPr>
              <w:t>poorly controlled h</w:t>
            </w:r>
            <w:r w:rsidRPr="00C329C4">
              <w:rPr>
                <w:lang w:eastAsia="en-GB"/>
              </w:rPr>
              <w:t>ypoparathyroidism</w:t>
            </w:r>
            <w:r w:rsidRPr="0061516B">
              <w:rPr>
                <w:lang w:eastAsia="en-GB"/>
              </w:rPr>
              <w:t xml:space="preserve"> index date</w:t>
            </w:r>
            <w:r w:rsidRPr="008A5D23">
              <w:rPr>
                <w:lang w:val="en-GB"/>
              </w:rPr>
              <w:t xml:space="preserve"> and </w:t>
            </w:r>
            <w:r>
              <w:rPr>
                <w:lang w:eastAsia="en-GB"/>
              </w:rPr>
              <w:t xml:space="preserve">do not have more than one of procedural codes listed in </w:t>
            </w:r>
            <w:r w:rsidR="007B1740">
              <w:rPr>
                <w:lang w:eastAsia="en-GB"/>
              </w:rPr>
              <w:t>Table 4</w:t>
            </w:r>
            <w:r>
              <w:rPr>
                <w:lang w:eastAsia="en-GB"/>
              </w:rPr>
              <w:fldChar w:fldCharType="begin"/>
            </w:r>
            <w:r>
              <w:rPr>
                <w:lang w:eastAsia="en-GB"/>
              </w:rPr>
              <w:instrText xml:space="preserve"> REF _Ref484160733 \h </w:instrText>
            </w:r>
            <w:r w:rsidR="00F43383">
              <w:rPr>
                <w:lang w:eastAsia="en-GB"/>
              </w:rPr>
              <w:instrText xml:space="preserve"> \* MERGEFORMAT </w:instrText>
            </w:r>
            <w:r>
              <w:rPr>
                <w:lang w:eastAsia="en-GB"/>
              </w:rPr>
            </w:r>
            <w:r>
              <w:rPr>
                <w:lang w:eastAsia="en-GB"/>
              </w:rPr>
              <w:fldChar w:fldCharType="end"/>
            </w:r>
            <w:r>
              <w:rPr>
                <w:lang w:eastAsia="en-GB"/>
              </w:rPr>
              <w:t xml:space="preserve"> at any time point</w:t>
            </w:r>
            <w:r w:rsidR="008A5D23">
              <w:rPr>
                <w:lang w:eastAsia="en-GB"/>
              </w:rPr>
              <w:t>,</w:t>
            </w:r>
            <w:r>
              <w:rPr>
                <w:lang w:eastAsia="en-GB"/>
              </w:rPr>
              <w:t xml:space="preserve"> and </w:t>
            </w:r>
          </w:p>
          <w:p w14:paraId="011C15BD" w14:textId="6AE03BE2" w:rsidR="00A62690" w:rsidRDefault="00A62690" w:rsidP="009E5DB6">
            <w:pPr>
              <w:pStyle w:val="ListParagraph"/>
              <w:numPr>
                <w:ilvl w:val="0"/>
                <w:numId w:val="10"/>
              </w:numPr>
              <w:rPr>
                <w:lang w:eastAsia="en-GB"/>
              </w:rPr>
            </w:pPr>
            <w:r>
              <w:rPr>
                <w:lang w:eastAsia="en-GB"/>
              </w:rPr>
              <w:t>do not have insufficient OHIP coverage (evidence of no health insurance in the year prior to incident poorly controlled h</w:t>
            </w:r>
            <w:r w:rsidRPr="00C329C4">
              <w:rPr>
                <w:lang w:eastAsia="en-GB"/>
              </w:rPr>
              <w:t>ypoparathyroidism</w:t>
            </w:r>
            <w:r>
              <w:rPr>
                <w:lang w:eastAsia="en-GB"/>
              </w:rPr>
              <w:t xml:space="preserve"> index date).</w:t>
            </w:r>
          </w:p>
          <w:p w14:paraId="40AE9215" w14:textId="77777777" w:rsidR="008A5D23" w:rsidRDefault="008A5D23" w:rsidP="00F43383">
            <w:pPr>
              <w:rPr>
                <w:b/>
                <w:bCs/>
              </w:rPr>
            </w:pPr>
            <w:bookmarkStart w:id="25" w:name="_Toc486318278"/>
            <w:bookmarkStart w:id="26" w:name="_Toc502165535"/>
          </w:p>
          <w:p w14:paraId="2D7AB4A0" w14:textId="6A93BC60" w:rsidR="00A62690" w:rsidRPr="00F43383" w:rsidRDefault="00A62690" w:rsidP="00F43383">
            <w:pPr>
              <w:rPr>
                <w:b/>
                <w:bCs/>
              </w:rPr>
            </w:pPr>
            <w:r w:rsidRPr="00F43383">
              <w:rPr>
                <w:b/>
                <w:bCs/>
              </w:rPr>
              <w:t>Adult incident poorly controlled</w:t>
            </w:r>
            <w:r w:rsidRPr="00F43383">
              <w:rPr>
                <w:b/>
                <w:bCs/>
                <w:lang w:eastAsia="en-GB"/>
              </w:rPr>
              <w:t xml:space="preserve"> hypoparathyroidism </w:t>
            </w:r>
            <w:r w:rsidRPr="00F43383">
              <w:rPr>
                <w:b/>
                <w:bCs/>
              </w:rPr>
              <w:t>control</w:t>
            </w:r>
            <w:bookmarkEnd w:id="25"/>
            <w:bookmarkEnd w:id="26"/>
          </w:p>
          <w:p w14:paraId="537D0885" w14:textId="77777777" w:rsidR="008A5D23" w:rsidRDefault="00A62690" w:rsidP="00F43383">
            <w:pPr>
              <w:rPr>
                <w:lang w:val="en-GB"/>
              </w:rPr>
            </w:pPr>
            <w:r w:rsidRPr="00185A3E">
              <w:rPr>
                <w:lang w:val="en-GB"/>
              </w:rPr>
              <w:t>Patients who are</w:t>
            </w:r>
            <w:r w:rsidR="008A5D23">
              <w:rPr>
                <w:lang w:val="en-GB"/>
              </w:rPr>
              <w:t>:</w:t>
            </w:r>
            <w:r w:rsidRPr="00185A3E">
              <w:rPr>
                <w:lang w:val="en-GB"/>
              </w:rPr>
              <w:t xml:space="preserve"> </w:t>
            </w:r>
          </w:p>
          <w:p w14:paraId="229C7269" w14:textId="7AC0361B" w:rsidR="008A5D23" w:rsidRDefault="00A62690" w:rsidP="009E5DB6">
            <w:pPr>
              <w:pStyle w:val="ListParagraph"/>
              <w:numPr>
                <w:ilvl w:val="0"/>
                <w:numId w:val="10"/>
              </w:numPr>
              <w:rPr>
                <w:lang w:eastAsia="en-GB"/>
              </w:rPr>
            </w:pPr>
            <w:r w:rsidRPr="008A5D23">
              <w:rPr>
                <w:lang w:val="en-GB"/>
              </w:rPr>
              <w:t xml:space="preserve">≥18 years on their control </w:t>
            </w:r>
            <w:r w:rsidRPr="0061516B">
              <w:rPr>
                <w:lang w:eastAsia="en-GB"/>
              </w:rPr>
              <w:t>index date</w:t>
            </w:r>
            <w:r w:rsidRPr="008A5D23">
              <w:rPr>
                <w:lang w:val="en-GB"/>
              </w:rPr>
              <w:t xml:space="preserve"> (where they have been matched to an incident </w:t>
            </w:r>
            <w:r>
              <w:rPr>
                <w:lang w:eastAsia="en-GB"/>
              </w:rPr>
              <w:t>poorly controlled h</w:t>
            </w:r>
            <w:r w:rsidRPr="00C329C4">
              <w:rPr>
                <w:lang w:eastAsia="en-GB"/>
              </w:rPr>
              <w:t>ypoparathyroidism</w:t>
            </w:r>
            <w:r w:rsidRPr="0061516B">
              <w:rPr>
                <w:lang w:eastAsia="en-GB"/>
              </w:rPr>
              <w:t xml:space="preserve"> </w:t>
            </w:r>
            <w:r>
              <w:rPr>
                <w:lang w:eastAsia="en-GB"/>
              </w:rPr>
              <w:t xml:space="preserve">patient) </w:t>
            </w:r>
            <w:r w:rsidRPr="008A5D23">
              <w:rPr>
                <w:lang w:val="en-GB"/>
              </w:rPr>
              <w:t xml:space="preserve">and </w:t>
            </w:r>
            <w:r>
              <w:rPr>
                <w:lang w:eastAsia="en-GB"/>
              </w:rPr>
              <w:t xml:space="preserve">do not have more than one of procedural codes listed in </w:t>
            </w:r>
            <w:r w:rsidR="007B1740">
              <w:rPr>
                <w:lang w:eastAsia="en-GB"/>
              </w:rPr>
              <w:t>Table 4</w:t>
            </w:r>
            <w:r>
              <w:rPr>
                <w:lang w:eastAsia="en-GB"/>
              </w:rPr>
              <w:fldChar w:fldCharType="begin"/>
            </w:r>
            <w:r>
              <w:rPr>
                <w:lang w:eastAsia="en-GB"/>
              </w:rPr>
              <w:instrText xml:space="preserve"> REF _Ref484160733 \h </w:instrText>
            </w:r>
            <w:r w:rsidR="00F43383">
              <w:rPr>
                <w:lang w:eastAsia="en-GB"/>
              </w:rPr>
              <w:instrText xml:space="preserve"> \* MERGEFORMAT </w:instrText>
            </w:r>
            <w:r>
              <w:rPr>
                <w:lang w:eastAsia="en-GB"/>
              </w:rPr>
            </w:r>
            <w:r>
              <w:rPr>
                <w:lang w:eastAsia="en-GB"/>
              </w:rPr>
              <w:fldChar w:fldCharType="end"/>
            </w:r>
            <w:r>
              <w:rPr>
                <w:lang w:eastAsia="en-GB"/>
              </w:rPr>
              <w:t xml:space="preserve"> at any time point</w:t>
            </w:r>
            <w:r w:rsidR="008A5D23">
              <w:rPr>
                <w:lang w:eastAsia="en-GB"/>
              </w:rPr>
              <w:t>,</w:t>
            </w:r>
            <w:r>
              <w:rPr>
                <w:lang w:eastAsia="en-GB"/>
              </w:rPr>
              <w:t xml:space="preserve"> and </w:t>
            </w:r>
          </w:p>
          <w:p w14:paraId="5770241C" w14:textId="542B77B6" w:rsidR="00A62690" w:rsidRDefault="00A62690" w:rsidP="009E5DB6">
            <w:pPr>
              <w:pStyle w:val="ListParagraph"/>
              <w:numPr>
                <w:ilvl w:val="0"/>
                <w:numId w:val="10"/>
              </w:numPr>
              <w:rPr>
                <w:lang w:eastAsia="en-GB"/>
              </w:rPr>
            </w:pPr>
            <w:r>
              <w:rPr>
                <w:lang w:eastAsia="en-GB"/>
              </w:rPr>
              <w:t>do not have insufficient OHIP coverage (evidence of no health insurance in the year prior to control index date).</w:t>
            </w:r>
          </w:p>
          <w:p w14:paraId="6BA15003" w14:textId="77777777" w:rsidR="008A5D23" w:rsidRDefault="008A5D23" w:rsidP="00F43383">
            <w:pPr>
              <w:rPr>
                <w:b/>
                <w:bCs/>
              </w:rPr>
            </w:pPr>
            <w:bookmarkStart w:id="27" w:name="_Toc486318279"/>
            <w:bookmarkStart w:id="28" w:name="_Toc502165536"/>
          </w:p>
          <w:p w14:paraId="04261E2E" w14:textId="66DDF232" w:rsidR="00A62690" w:rsidRPr="00F43383" w:rsidRDefault="00A62690" w:rsidP="00F43383">
            <w:pPr>
              <w:rPr>
                <w:b/>
                <w:bCs/>
              </w:rPr>
            </w:pPr>
            <w:r w:rsidRPr="00F43383">
              <w:rPr>
                <w:b/>
                <w:bCs/>
              </w:rPr>
              <w:t>Adult prevalent poorly controlled</w:t>
            </w:r>
            <w:r w:rsidRPr="00F43383">
              <w:rPr>
                <w:b/>
                <w:bCs/>
                <w:lang w:eastAsia="en-GB"/>
              </w:rPr>
              <w:t xml:space="preserve"> hypoparathyroidism </w:t>
            </w:r>
            <w:r w:rsidRPr="00F43383">
              <w:rPr>
                <w:b/>
                <w:bCs/>
              </w:rPr>
              <w:t>case</w:t>
            </w:r>
            <w:bookmarkEnd w:id="27"/>
            <w:bookmarkEnd w:id="28"/>
          </w:p>
          <w:p w14:paraId="4778C368" w14:textId="77777777" w:rsidR="008A5D23" w:rsidRDefault="00A62690" w:rsidP="00F43383">
            <w:pPr>
              <w:rPr>
                <w:lang w:val="en-GB"/>
              </w:rPr>
            </w:pPr>
            <w:r w:rsidRPr="00185A3E">
              <w:rPr>
                <w:lang w:val="en-GB"/>
              </w:rPr>
              <w:t>Patients who are</w:t>
            </w:r>
            <w:r w:rsidR="008A5D23">
              <w:rPr>
                <w:lang w:val="en-GB"/>
              </w:rPr>
              <w:t>:</w:t>
            </w:r>
            <w:r w:rsidRPr="00185A3E">
              <w:rPr>
                <w:lang w:val="en-GB"/>
              </w:rPr>
              <w:t xml:space="preserve"> </w:t>
            </w:r>
          </w:p>
          <w:p w14:paraId="6617A0B3" w14:textId="7F7B12E7" w:rsidR="008A5D23" w:rsidRDefault="00A62690" w:rsidP="009E5DB6">
            <w:pPr>
              <w:pStyle w:val="ListParagraph"/>
              <w:numPr>
                <w:ilvl w:val="0"/>
                <w:numId w:val="10"/>
              </w:numPr>
              <w:rPr>
                <w:lang w:eastAsia="en-GB"/>
              </w:rPr>
            </w:pPr>
            <w:r w:rsidRPr="008A5D23">
              <w:rPr>
                <w:lang w:val="en-GB"/>
              </w:rPr>
              <w:t xml:space="preserve">≥18 years on their prevalent </w:t>
            </w:r>
            <w:r>
              <w:rPr>
                <w:lang w:eastAsia="en-GB"/>
              </w:rPr>
              <w:t>poorly controlled h</w:t>
            </w:r>
            <w:r w:rsidRPr="00C329C4">
              <w:rPr>
                <w:lang w:eastAsia="en-GB"/>
              </w:rPr>
              <w:t>ypoparathyroidism</w:t>
            </w:r>
            <w:r w:rsidRPr="0061516B">
              <w:rPr>
                <w:lang w:eastAsia="en-GB"/>
              </w:rPr>
              <w:t xml:space="preserve"> index date</w:t>
            </w:r>
            <w:r w:rsidRPr="008A5D23">
              <w:rPr>
                <w:lang w:val="en-GB"/>
              </w:rPr>
              <w:t xml:space="preserve"> and </w:t>
            </w:r>
            <w:r>
              <w:rPr>
                <w:lang w:eastAsia="en-GB"/>
              </w:rPr>
              <w:t xml:space="preserve">do not have more than one of procedural codes listed in </w:t>
            </w:r>
            <w:r w:rsidR="007B1740">
              <w:rPr>
                <w:lang w:eastAsia="en-GB"/>
              </w:rPr>
              <w:t>Table 4</w:t>
            </w:r>
            <w:r>
              <w:rPr>
                <w:lang w:eastAsia="en-GB"/>
              </w:rPr>
              <w:fldChar w:fldCharType="begin"/>
            </w:r>
            <w:r>
              <w:rPr>
                <w:lang w:eastAsia="en-GB"/>
              </w:rPr>
              <w:instrText xml:space="preserve"> REF _Ref484160733 \h </w:instrText>
            </w:r>
            <w:r w:rsidR="00F43383">
              <w:rPr>
                <w:lang w:eastAsia="en-GB"/>
              </w:rPr>
              <w:instrText xml:space="preserve"> \* MERGEFORMAT </w:instrText>
            </w:r>
            <w:r>
              <w:rPr>
                <w:lang w:eastAsia="en-GB"/>
              </w:rPr>
            </w:r>
            <w:r>
              <w:rPr>
                <w:lang w:eastAsia="en-GB"/>
              </w:rPr>
              <w:fldChar w:fldCharType="end"/>
            </w:r>
            <w:r>
              <w:rPr>
                <w:lang w:eastAsia="en-GB"/>
              </w:rPr>
              <w:t xml:space="preserve"> at any time point</w:t>
            </w:r>
            <w:r w:rsidR="008A5D23">
              <w:rPr>
                <w:lang w:eastAsia="en-GB"/>
              </w:rPr>
              <w:t>,</w:t>
            </w:r>
            <w:r>
              <w:rPr>
                <w:lang w:eastAsia="en-GB"/>
              </w:rPr>
              <w:t xml:space="preserve"> and </w:t>
            </w:r>
          </w:p>
          <w:p w14:paraId="456077F8" w14:textId="482C49CA" w:rsidR="00A62690" w:rsidRDefault="00A62690" w:rsidP="009E5DB6">
            <w:pPr>
              <w:pStyle w:val="ListParagraph"/>
              <w:numPr>
                <w:ilvl w:val="0"/>
                <w:numId w:val="10"/>
              </w:numPr>
              <w:rPr>
                <w:lang w:eastAsia="en-GB"/>
              </w:rPr>
            </w:pPr>
            <w:r>
              <w:rPr>
                <w:lang w:eastAsia="en-GB"/>
              </w:rPr>
              <w:t xml:space="preserve">do not have insufficient OHIP coverage (evidence of no health insurance in the year prior to </w:t>
            </w:r>
            <w:r w:rsidRPr="008A5D23">
              <w:rPr>
                <w:lang w:val="en-GB"/>
              </w:rPr>
              <w:t>prevalent</w:t>
            </w:r>
            <w:r>
              <w:rPr>
                <w:lang w:eastAsia="en-GB"/>
              </w:rPr>
              <w:t xml:space="preserve"> poorly controlled h</w:t>
            </w:r>
            <w:r w:rsidRPr="00C329C4">
              <w:rPr>
                <w:lang w:eastAsia="en-GB"/>
              </w:rPr>
              <w:t>ypoparathyroidism</w:t>
            </w:r>
            <w:r>
              <w:rPr>
                <w:lang w:eastAsia="en-GB"/>
              </w:rPr>
              <w:t xml:space="preserve"> index date).</w:t>
            </w:r>
          </w:p>
          <w:p w14:paraId="2C1A8BE5" w14:textId="1794BBD7" w:rsidR="00684899" w:rsidRPr="0021258D" w:rsidRDefault="00684899" w:rsidP="00F43383"/>
        </w:tc>
      </w:tr>
      <w:tr w:rsidR="00684899" w:rsidRPr="002F6DB4" w14:paraId="2C1A8BEA" w14:textId="77777777" w:rsidTr="008D6CEC">
        <w:trPr>
          <w:gridAfter w:val="1"/>
          <w:wAfter w:w="15" w:type="dxa"/>
        </w:trPr>
        <w:tc>
          <w:tcPr>
            <w:tcW w:w="2896" w:type="dxa"/>
            <w:tcBorders>
              <w:top w:val="single" w:sz="4" w:space="0" w:color="999999"/>
              <w:bottom w:val="single" w:sz="4" w:space="0" w:color="999999"/>
              <w:right w:val="single" w:sz="4" w:space="0" w:color="A6A6A6" w:themeColor="background1" w:themeShade="A6"/>
            </w:tcBorders>
            <w:noWrap/>
            <w:tcMar>
              <w:top w:w="15" w:type="dxa"/>
              <w:left w:w="15" w:type="dxa"/>
              <w:bottom w:w="0" w:type="dxa"/>
              <w:right w:w="15" w:type="dxa"/>
            </w:tcMar>
          </w:tcPr>
          <w:p w14:paraId="2C1A8BE8" w14:textId="10A42B66" w:rsidR="00684899" w:rsidRPr="00FA1D90" w:rsidRDefault="006628C2" w:rsidP="006628C2">
            <w:pPr>
              <w:rPr>
                <w:i/>
              </w:rPr>
            </w:pPr>
            <w:r>
              <w:rPr>
                <w:b/>
              </w:rPr>
              <w:lastRenderedPageBreak/>
              <w:t>Outcome</w:t>
            </w:r>
            <w:r w:rsidR="0093782C">
              <w:rPr>
                <w:b/>
              </w:rPr>
              <w:t>s</w:t>
            </w:r>
          </w:p>
        </w:tc>
        <w:tc>
          <w:tcPr>
            <w:tcW w:w="7199" w:type="dxa"/>
            <w:tcBorders>
              <w:top w:val="single" w:sz="4" w:space="0" w:color="999999"/>
              <w:left w:val="single" w:sz="4" w:space="0" w:color="A6A6A6" w:themeColor="background1" w:themeShade="A6"/>
              <w:bottom w:val="single" w:sz="4" w:space="0" w:color="999999"/>
            </w:tcBorders>
          </w:tcPr>
          <w:p w14:paraId="64AA793F" w14:textId="097D65A2" w:rsidR="00815261" w:rsidRDefault="00815261" w:rsidP="00E4323E">
            <w:pPr>
              <w:rPr>
                <w:b/>
                <w:bCs/>
              </w:rPr>
            </w:pPr>
            <w:bookmarkStart w:id="29" w:name="_Toc486318281"/>
            <w:bookmarkStart w:id="30" w:name="_Toc502165538"/>
            <w:r>
              <w:rPr>
                <w:b/>
                <w:bCs/>
              </w:rPr>
              <w:t xml:space="preserve">Note: </w:t>
            </w:r>
            <w:r>
              <w:t xml:space="preserve">For each patient, the following outcomes will be measured from their cohort-specific index date to the end of follow-up </w:t>
            </w:r>
            <w:proofErr w:type="spellStart"/>
            <w:r>
              <w:t>priod</w:t>
            </w:r>
            <w:proofErr w:type="spellEnd"/>
            <w:r>
              <w:t xml:space="preserve"> or death or censoring. </w:t>
            </w:r>
          </w:p>
          <w:p w14:paraId="6E2F0B72" w14:textId="15EF629C" w:rsidR="00815261" w:rsidRDefault="00815261" w:rsidP="00E4323E">
            <w:pPr>
              <w:rPr>
                <w:b/>
                <w:bCs/>
              </w:rPr>
            </w:pPr>
          </w:p>
          <w:p w14:paraId="153B6F3F" w14:textId="2701471E" w:rsidR="00844261" w:rsidRPr="00844261" w:rsidRDefault="00A62690" w:rsidP="00E4323E">
            <w:pPr>
              <w:rPr>
                <w:b/>
                <w:bCs/>
              </w:rPr>
            </w:pPr>
            <w:r w:rsidRPr="00E4323E">
              <w:rPr>
                <w:b/>
                <w:bCs/>
              </w:rPr>
              <w:t xml:space="preserve">Healthcare </w:t>
            </w:r>
            <w:r w:rsidR="00E4323E">
              <w:rPr>
                <w:b/>
                <w:bCs/>
              </w:rPr>
              <w:t>Utilization</w:t>
            </w:r>
            <w:bookmarkEnd w:id="29"/>
            <w:bookmarkEnd w:id="30"/>
            <w:r w:rsidR="00815261">
              <w:rPr>
                <w:b/>
                <w:bCs/>
              </w:rPr>
              <w:t xml:space="preserve"> (n, %)</w:t>
            </w:r>
            <w:r w:rsidR="00E4323E">
              <w:rPr>
                <w:b/>
                <w:bCs/>
              </w:rPr>
              <w:t>:</w:t>
            </w:r>
          </w:p>
          <w:p w14:paraId="05EBDDA7" w14:textId="639782E2" w:rsidR="00414D7F" w:rsidRDefault="00A71ECF" w:rsidP="00414D7F">
            <w:pPr>
              <w:rPr>
                <w:rFonts w:cstheme="minorHAnsi"/>
                <w:bCs/>
              </w:rPr>
            </w:pPr>
            <w:r>
              <w:rPr>
                <w:rFonts w:cstheme="minorHAnsi"/>
                <w:bCs/>
              </w:rPr>
              <w:t>Measure</w:t>
            </w:r>
            <w:r w:rsidR="00414D7F" w:rsidRPr="00414D7F">
              <w:rPr>
                <w:rFonts w:cstheme="minorHAnsi"/>
                <w:bCs/>
              </w:rPr>
              <w:t xml:space="preserve"> the overall health service utilization for all </w:t>
            </w:r>
            <w:r w:rsidR="00414D7F">
              <w:rPr>
                <w:rFonts w:cstheme="minorHAnsi"/>
                <w:bCs/>
              </w:rPr>
              <w:t>outcomes listed below</w:t>
            </w:r>
            <w:r w:rsidR="00414D7F" w:rsidRPr="00414D7F">
              <w:rPr>
                <w:rFonts w:cstheme="minorHAnsi"/>
                <w:bCs/>
              </w:rPr>
              <w:t xml:space="preserve"> in each cohort after </w:t>
            </w:r>
            <w:r w:rsidR="00414D7F">
              <w:rPr>
                <w:rFonts w:cstheme="minorHAnsi"/>
                <w:bCs/>
              </w:rPr>
              <w:t>the</w:t>
            </w:r>
            <w:r w:rsidR="000F24AE">
              <w:rPr>
                <w:rFonts w:cstheme="minorHAnsi"/>
                <w:bCs/>
              </w:rPr>
              <w:t>ir respective</w:t>
            </w:r>
            <w:r w:rsidR="00414D7F">
              <w:rPr>
                <w:rFonts w:cstheme="minorHAnsi"/>
                <w:bCs/>
              </w:rPr>
              <w:t xml:space="preserve"> cohort-specific </w:t>
            </w:r>
            <w:r w:rsidR="00414D7F" w:rsidRPr="00414D7F">
              <w:rPr>
                <w:rFonts w:cstheme="minorHAnsi"/>
                <w:bCs/>
              </w:rPr>
              <w:t>index date to the maximum follow-up date</w:t>
            </w:r>
            <w:r w:rsidR="00414D7F">
              <w:rPr>
                <w:rFonts w:cstheme="minorHAnsi"/>
                <w:bCs/>
              </w:rPr>
              <w:t xml:space="preserve">, </w:t>
            </w:r>
            <w:proofErr w:type="gramStart"/>
            <w:r w:rsidR="00414D7F">
              <w:rPr>
                <w:rFonts w:cstheme="minorHAnsi"/>
                <w:bCs/>
              </w:rPr>
              <w:t>death</w:t>
            </w:r>
            <w:proofErr w:type="gramEnd"/>
            <w:r w:rsidR="00414D7F">
              <w:rPr>
                <w:rFonts w:cstheme="minorHAnsi"/>
                <w:bCs/>
              </w:rPr>
              <w:t xml:space="preserve"> or censoring</w:t>
            </w:r>
            <w:r w:rsidR="00414D7F" w:rsidRPr="00414D7F">
              <w:rPr>
                <w:rFonts w:cstheme="minorHAnsi"/>
                <w:bCs/>
              </w:rPr>
              <w:t xml:space="preserve">. </w:t>
            </w:r>
            <w:r>
              <w:rPr>
                <w:rFonts w:cstheme="minorHAnsi"/>
                <w:bCs/>
              </w:rPr>
              <w:t>Also compare</w:t>
            </w:r>
            <w:r w:rsidR="00986A14">
              <w:rPr>
                <w:rFonts w:cstheme="minorHAnsi"/>
                <w:bCs/>
              </w:rPr>
              <w:t xml:space="preserve"> healthcare</w:t>
            </w:r>
            <w:r>
              <w:rPr>
                <w:rFonts w:cstheme="minorHAnsi"/>
                <w:bCs/>
              </w:rPr>
              <w:t xml:space="preserve"> resource utilization for </w:t>
            </w:r>
            <w:r>
              <w:rPr>
                <w:lang w:val="en-GB" w:eastAsia="en-GB"/>
              </w:rPr>
              <w:t>incident</w:t>
            </w:r>
            <w:r w:rsidRPr="005C3109">
              <w:rPr>
                <w:lang w:val="en-GB" w:eastAsia="en-GB"/>
              </w:rPr>
              <w:t xml:space="preserve"> chronic </w:t>
            </w:r>
            <w:r>
              <w:rPr>
                <w:lang w:val="en-GB" w:eastAsia="en-GB"/>
              </w:rPr>
              <w:t>hypoparathyroidism</w:t>
            </w:r>
            <w:r w:rsidRPr="005C3109">
              <w:rPr>
                <w:lang w:val="en-GB" w:eastAsia="en-GB"/>
              </w:rPr>
              <w:t xml:space="preserve"> </w:t>
            </w:r>
            <w:r>
              <w:rPr>
                <w:lang w:val="en-GB" w:eastAsia="en-GB"/>
              </w:rPr>
              <w:t>to their controls and adult</w:t>
            </w:r>
            <w:r w:rsidRPr="005C3109">
              <w:rPr>
                <w:lang w:val="en-GB" w:eastAsia="en-GB"/>
              </w:rPr>
              <w:t xml:space="preserve"> </w:t>
            </w:r>
            <w:r>
              <w:rPr>
                <w:lang w:val="en-GB" w:eastAsia="en-GB"/>
              </w:rPr>
              <w:t xml:space="preserve">incident </w:t>
            </w:r>
            <w:r w:rsidRPr="005C3109">
              <w:rPr>
                <w:lang w:val="en-GB" w:eastAsia="en-GB"/>
              </w:rPr>
              <w:t xml:space="preserve">poorly controlled </w:t>
            </w:r>
            <w:r>
              <w:rPr>
                <w:lang w:val="en-GB" w:eastAsia="en-GB"/>
              </w:rPr>
              <w:t>hypoparathyroidism to their controls.</w:t>
            </w:r>
          </w:p>
          <w:p w14:paraId="511E34C5" w14:textId="77777777" w:rsidR="00A71ECF" w:rsidRDefault="00414D7F" w:rsidP="009E5DB6">
            <w:pPr>
              <w:pStyle w:val="ListParagraph"/>
              <w:numPr>
                <w:ilvl w:val="0"/>
                <w:numId w:val="17"/>
              </w:numPr>
              <w:rPr>
                <w:rFonts w:cstheme="minorHAnsi"/>
                <w:bCs/>
              </w:rPr>
            </w:pPr>
            <w:r w:rsidRPr="00B71DDA">
              <w:rPr>
                <w:rFonts w:cstheme="minorHAnsi"/>
                <w:bCs/>
              </w:rPr>
              <w:t xml:space="preserve">Count the number of events </w:t>
            </w:r>
            <w:r w:rsidR="000F24AE">
              <w:rPr>
                <w:rFonts w:cstheme="minorHAnsi"/>
                <w:bCs/>
              </w:rPr>
              <w:t xml:space="preserve">(at least 1 event) </w:t>
            </w:r>
            <w:r w:rsidRPr="00B71DDA">
              <w:rPr>
                <w:rFonts w:cstheme="minorHAnsi"/>
                <w:bCs/>
              </w:rPr>
              <w:t>in each year.</w:t>
            </w:r>
          </w:p>
          <w:p w14:paraId="15D0B16B" w14:textId="5060F886" w:rsidR="00A71ECF" w:rsidRPr="00A71ECF" w:rsidRDefault="00A71ECF" w:rsidP="009E5DB6">
            <w:pPr>
              <w:pStyle w:val="ListParagraph"/>
              <w:numPr>
                <w:ilvl w:val="0"/>
                <w:numId w:val="17"/>
              </w:numPr>
              <w:rPr>
                <w:rFonts w:cstheme="minorHAnsi"/>
                <w:bCs/>
              </w:rPr>
            </w:pPr>
            <w:r>
              <w:t>T</w:t>
            </w:r>
            <w:r w:rsidRPr="00287AAC">
              <w:t>otal visits (to any healthcare</w:t>
            </w:r>
            <w:r>
              <w:t xml:space="preserve"> </w:t>
            </w:r>
            <w:r w:rsidR="00986A14">
              <w:t>contact indicated below</w:t>
            </w:r>
            <w:r w:rsidRPr="00287AAC">
              <w:t>)</w:t>
            </w:r>
            <w:r>
              <w:t xml:space="preserve"> will also be calculated. </w:t>
            </w:r>
          </w:p>
          <w:p w14:paraId="6C277542" w14:textId="77777777" w:rsidR="00A71ECF" w:rsidRPr="00A71ECF" w:rsidRDefault="00A71ECF" w:rsidP="009E5DB6">
            <w:pPr>
              <w:pStyle w:val="ListParagraph"/>
              <w:numPr>
                <w:ilvl w:val="0"/>
                <w:numId w:val="17"/>
              </w:numPr>
              <w:rPr>
                <w:rFonts w:cstheme="minorHAnsi"/>
                <w:bCs/>
              </w:rPr>
            </w:pPr>
            <w:r>
              <w:t>If the same visit is recorded in multiple datasets, only one will be counted.</w:t>
            </w:r>
          </w:p>
          <w:p w14:paraId="1FC475EF" w14:textId="689A0C00" w:rsidR="00A71ECF" w:rsidRPr="00A71ECF" w:rsidRDefault="00A71ECF" w:rsidP="009E5DB6">
            <w:pPr>
              <w:pStyle w:val="ListParagraph"/>
              <w:numPr>
                <w:ilvl w:val="0"/>
                <w:numId w:val="17"/>
              </w:numPr>
              <w:rPr>
                <w:rFonts w:cstheme="minorHAnsi"/>
                <w:bCs/>
              </w:rPr>
            </w:pPr>
            <w:r>
              <w:t xml:space="preserve">Where more than 1 physician billings </w:t>
            </w:r>
            <w:proofErr w:type="gramStart"/>
            <w:r>
              <w:t>occurs</w:t>
            </w:r>
            <w:proofErr w:type="gramEnd"/>
            <w:r>
              <w:t xml:space="preserve"> for the same visit type on the same day, this will be considered just one visit. </w:t>
            </w:r>
          </w:p>
          <w:p w14:paraId="7D3310F1" w14:textId="6104BB46" w:rsidR="00A71ECF" w:rsidRDefault="00A71ECF" w:rsidP="00A71ECF">
            <w:pPr>
              <w:rPr>
                <w:rFonts w:cstheme="minorHAnsi"/>
                <w:bCs/>
              </w:rPr>
            </w:pPr>
          </w:p>
          <w:p w14:paraId="61A8D950" w14:textId="7063F990" w:rsidR="00A62690" w:rsidRDefault="00414D7F" w:rsidP="009E5DB6">
            <w:pPr>
              <w:pStyle w:val="ListParagraph"/>
              <w:numPr>
                <w:ilvl w:val="0"/>
                <w:numId w:val="15"/>
              </w:numPr>
              <w:ind w:left="720"/>
            </w:pPr>
            <w:r w:rsidRPr="00414D7F">
              <w:rPr>
                <w:u w:val="single"/>
              </w:rPr>
              <w:lastRenderedPageBreak/>
              <w:t>From OHIP</w:t>
            </w:r>
            <w:r>
              <w:t xml:space="preserve">, count the </w:t>
            </w:r>
            <w:r w:rsidR="00A62690" w:rsidRPr="00DE13AA">
              <w:t>visits to outpatient (primary an</w:t>
            </w:r>
            <w:r w:rsidR="00A62690">
              <w:t>d secondary care) settings</w:t>
            </w:r>
            <w:r>
              <w:t xml:space="preserve"> </w:t>
            </w:r>
            <w:r w:rsidR="00A62690">
              <w:t xml:space="preserve">where the location is office, </w:t>
            </w:r>
            <w:proofErr w:type="spellStart"/>
            <w:r w:rsidR="00A62690">
              <w:t>carehome</w:t>
            </w:r>
            <w:proofErr w:type="spellEnd"/>
            <w:r w:rsidR="00A62690">
              <w:t>, long term care or over the phone</w:t>
            </w:r>
            <w:r>
              <w:t xml:space="preserve"> by:</w:t>
            </w:r>
          </w:p>
          <w:p w14:paraId="25A5BEEF" w14:textId="77777777" w:rsidR="00A62690" w:rsidRPr="00E4323E" w:rsidRDefault="00A62690" w:rsidP="009E5DB6">
            <w:pPr>
              <w:pStyle w:val="ListParagraph"/>
              <w:numPr>
                <w:ilvl w:val="0"/>
                <w:numId w:val="18"/>
              </w:numPr>
              <w:rPr>
                <w:lang w:val="en-GB" w:eastAsia="en-GB"/>
              </w:rPr>
            </w:pPr>
            <w:r w:rsidRPr="00E4323E">
              <w:rPr>
                <w:lang w:val="en-GB" w:eastAsia="en-GB"/>
              </w:rPr>
              <w:t>GP</w:t>
            </w:r>
          </w:p>
          <w:p w14:paraId="629AADBD" w14:textId="77777777" w:rsidR="00A62690" w:rsidRPr="00E4323E" w:rsidRDefault="00A62690" w:rsidP="009E5DB6">
            <w:pPr>
              <w:pStyle w:val="ListParagraph"/>
              <w:numPr>
                <w:ilvl w:val="0"/>
                <w:numId w:val="18"/>
              </w:numPr>
              <w:rPr>
                <w:lang w:val="en-GB" w:eastAsia="en-GB"/>
              </w:rPr>
            </w:pPr>
            <w:r w:rsidRPr="00E4323E">
              <w:rPr>
                <w:lang w:val="en-GB" w:eastAsia="en-GB"/>
              </w:rPr>
              <w:t>specialist</w:t>
            </w:r>
          </w:p>
          <w:p w14:paraId="63082079" w14:textId="77777777" w:rsidR="00A62690" w:rsidRPr="00E4323E" w:rsidRDefault="00A62690" w:rsidP="009E5DB6">
            <w:pPr>
              <w:pStyle w:val="ListParagraph"/>
              <w:numPr>
                <w:ilvl w:val="0"/>
                <w:numId w:val="18"/>
              </w:numPr>
              <w:rPr>
                <w:lang w:val="en-GB" w:eastAsia="en-GB"/>
              </w:rPr>
            </w:pPr>
            <w:r w:rsidRPr="00E4323E">
              <w:rPr>
                <w:lang w:val="en-GB" w:eastAsia="en-GB"/>
              </w:rPr>
              <w:t>other</w:t>
            </w:r>
          </w:p>
          <w:p w14:paraId="49D2A29D" w14:textId="5AB7C6F4" w:rsidR="00A62690" w:rsidRDefault="00414D7F" w:rsidP="009E5DB6">
            <w:pPr>
              <w:pStyle w:val="ListParagraph"/>
              <w:numPr>
                <w:ilvl w:val="0"/>
                <w:numId w:val="15"/>
              </w:numPr>
              <w:ind w:left="720"/>
            </w:pPr>
            <w:r w:rsidRPr="000F24AE">
              <w:rPr>
                <w:u w:val="single"/>
              </w:rPr>
              <w:t>From NACRS</w:t>
            </w:r>
            <w:r>
              <w:t xml:space="preserve">, count the </w:t>
            </w:r>
            <w:r w:rsidR="00A62690">
              <w:t xml:space="preserve">emergency department visits </w:t>
            </w:r>
            <w:r w:rsidR="000F24AE">
              <w:t>in each year</w:t>
            </w:r>
          </w:p>
          <w:p w14:paraId="30B54704" w14:textId="24AB9371" w:rsidR="00A62690" w:rsidRDefault="00414D7F" w:rsidP="009E5DB6">
            <w:pPr>
              <w:pStyle w:val="ListParagraph"/>
              <w:numPr>
                <w:ilvl w:val="0"/>
                <w:numId w:val="15"/>
              </w:numPr>
              <w:ind w:left="720"/>
            </w:pPr>
            <w:r w:rsidRPr="000F24AE">
              <w:rPr>
                <w:u w:val="single"/>
              </w:rPr>
              <w:t>From DAD</w:t>
            </w:r>
            <w:r>
              <w:t xml:space="preserve">, include </w:t>
            </w:r>
            <w:r w:rsidR="000F24AE">
              <w:t xml:space="preserve">the episodes of </w:t>
            </w:r>
            <w:r w:rsidR="00A62690">
              <w:t>hospitalizations</w:t>
            </w:r>
            <w:r w:rsidR="000F24AE">
              <w:t xml:space="preserve"> in each year</w:t>
            </w:r>
          </w:p>
          <w:p w14:paraId="35722019" w14:textId="590B8A64" w:rsidR="00A62690" w:rsidRDefault="000F24AE" w:rsidP="009E5DB6">
            <w:pPr>
              <w:pStyle w:val="ListParagraph"/>
              <w:numPr>
                <w:ilvl w:val="0"/>
                <w:numId w:val="15"/>
              </w:numPr>
              <w:ind w:left="720"/>
            </w:pPr>
            <w:r w:rsidRPr="000F24AE">
              <w:rPr>
                <w:u w:val="single"/>
              </w:rPr>
              <w:t>From continuing care records</w:t>
            </w:r>
            <w:r>
              <w:t xml:space="preserve">, include the </w:t>
            </w:r>
            <w:proofErr w:type="gramStart"/>
            <w:r w:rsidR="00A62690">
              <w:t>long term</w:t>
            </w:r>
            <w:proofErr w:type="gramEnd"/>
            <w:r w:rsidR="00A62690">
              <w:t xml:space="preserve"> care </w:t>
            </w:r>
            <w:r>
              <w:t>admissions</w:t>
            </w:r>
          </w:p>
          <w:p w14:paraId="76462909" w14:textId="25BBFB61" w:rsidR="00A62690" w:rsidRDefault="000F24AE" w:rsidP="009E5DB6">
            <w:pPr>
              <w:pStyle w:val="ListParagraph"/>
              <w:numPr>
                <w:ilvl w:val="0"/>
                <w:numId w:val="15"/>
              </w:numPr>
              <w:ind w:left="720"/>
            </w:pPr>
            <w:r w:rsidRPr="000F24AE">
              <w:rPr>
                <w:u w:val="single"/>
              </w:rPr>
              <w:t>From SDS</w:t>
            </w:r>
            <w:r>
              <w:t xml:space="preserve">, include the </w:t>
            </w:r>
            <w:r w:rsidR="00A62690">
              <w:t>same day surgeries in the DAD database</w:t>
            </w:r>
          </w:p>
          <w:p w14:paraId="7CA122D2" w14:textId="773B4EB6" w:rsidR="00A62690" w:rsidRDefault="000F24AE" w:rsidP="009E5DB6">
            <w:pPr>
              <w:pStyle w:val="ListParagraph"/>
              <w:numPr>
                <w:ilvl w:val="0"/>
                <w:numId w:val="15"/>
              </w:numPr>
              <w:ind w:left="720"/>
            </w:pPr>
            <w:r w:rsidRPr="000F24AE">
              <w:rPr>
                <w:u w:val="single"/>
              </w:rPr>
              <w:t>From NRS</w:t>
            </w:r>
            <w:r>
              <w:t xml:space="preserve">, include </w:t>
            </w:r>
            <w:r w:rsidR="00A62690" w:rsidRPr="000E6F47">
              <w:t>rehabilitation services</w:t>
            </w:r>
            <w:r w:rsidR="00A62690">
              <w:t xml:space="preserve"> in the NRS database</w:t>
            </w:r>
          </w:p>
          <w:p w14:paraId="24D84426" w14:textId="77777777" w:rsidR="00E4323E" w:rsidRDefault="00E4323E" w:rsidP="00E4323E">
            <w:pPr>
              <w:rPr>
                <w:b/>
                <w:bCs/>
              </w:rPr>
            </w:pPr>
            <w:bookmarkStart w:id="31" w:name="_Toc486318282"/>
            <w:bookmarkStart w:id="32" w:name="_Toc502165539"/>
          </w:p>
          <w:p w14:paraId="415C0D0A" w14:textId="7A0D0250" w:rsidR="00A62690" w:rsidRDefault="00A62690" w:rsidP="00E4323E">
            <w:pPr>
              <w:rPr>
                <w:b/>
                <w:bCs/>
              </w:rPr>
            </w:pPr>
            <w:r w:rsidRPr="00E4323E">
              <w:rPr>
                <w:b/>
                <w:bCs/>
              </w:rPr>
              <w:t>Healthcare costs</w:t>
            </w:r>
            <w:bookmarkEnd w:id="31"/>
            <w:bookmarkEnd w:id="32"/>
          </w:p>
          <w:p w14:paraId="12D442F1" w14:textId="0D071C13" w:rsidR="00986A14" w:rsidRDefault="00A62690" w:rsidP="00986A14">
            <w:pPr>
              <w:rPr>
                <w:rFonts w:cstheme="minorHAnsi"/>
                <w:bCs/>
              </w:rPr>
            </w:pPr>
            <w:r w:rsidRPr="00287AAC">
              <w:t xml:space="preserve">The </w:t>
            </w:r>
            <w:r>
              <w:t xml:space="preserve">costs associated </w:t>
            </w:r>
            <w:r w:rsidRPr="00287AAC">
              <w:t xml:space="preserve">number of visits to each of the following healthcare touchpoints will be calculated for each patient from their cohort-specific index date to </w:t>
            </w:r>
            <w:r w:rsidR="00986A14" w:rsidRPr="00414D7F">
              <w:rPr>
                <w:rFonts w:cstheme="minorHAnsi"/>
                <w:bCs/>
              </w:rPr>
              <w:t>index date to the maximum follow-up date</w:t>
            </w:r>
            <w:r w:rsidR="00986A14">
              <w:rPr>
                <w:rFonts w:cstheme="minorHAnsi"/>
                <w:bCs/>
              </w:rPr>
              <w:t xml:space="preserve">, </w:t>
            </w:r>
            <w:proofErr w:type="gramStart"/>
            <w:r w:rsidR="00986A14">
              <w:rPr>
                <w:rFonts w:cstheme="minorHAnsi"/>
                <w:bCs/>
              </w:rPr>
              <w:t>death</w:t>
            </w:r>
            <w:proofErr w:type="gramEnd"/>
            <w:r w:rsidR="00986A14">
              <w:rPr>
                <w:rFonts w:cstheme="minorHAnsi"/>
                <w:bCs/>
              </w:rPr>
              <w:t xml:space="preserve"> or censoring.</w:t>
            </w:r>
            <w:r w:rsidRPr="00287AAC">
              <w:t xml:space="preserve"> </w:t>
            </w:r>
            <w:r w:rsidR="00986A14">
              <w:rPr>
                <w:rFonts w:cstheme="minorHAnsi"/>
                <w:bCs/>
              </w:rPr>
              <w:t xml:space="preserve">Also compare healthcare resource cost for </w:t>
            </w:r>
            <w:r w:rsidR="00986A14">
              <w:rPr>
                <w:lang w:val="en-GB" w:eastAsia="en-GB"/>
              </w:rPr>
              <w:t>incident</w:t>
            </w:r>
            <w:r w:rsidR="00986A14" w:rsidRPr="005C3109">
              <w:rPr>
                <w:lang w:val="en-GB" w:eastAsia="en-GB"/>
              </w:rPr>
              <w:t xml:space="preserve"> chronic </w:t>
            </w:r>
            <w:r w:rsidR="00986A14">
              <w:rPr>
                <w:lang w:val="en-GB" w:eastAsia="en-GB"/>
              </w:rPr>
              <w:t>hypoparathyroidism</w:t>
            </w:r>
            <w:r w:rsidR="00986A14" w:rsidRPr="005C3109">
              <w:rPr>
                <w:lang w:val="en-GB" w:eastAsia="en-GB"/>
              </w:rPr>
              <w:t xml:space="preserve"> </w:t>
            </w:r>
            <w:r w:rsidR="00986A14">
              <w:rPr>
                <w:lang w:val="en-GB" w:eastAsia="en-GB"/>
              </w:rPr>
              <w:t>to their controls and adult</w:t>
            </w:r>
            <w:r w:rsidR="00986A14" w:rsidRPr="005C3109">
              <w:rPr>
                <w:lang w:val="en-GB" w:eastAsia="en-GB"/>
              </w:rPr>
              <w:t xml:space="preserve"> </w:t>
            </w:r>
            <w:r w:rsidR="00986A14">
              <w:rPr>
                <w:lang w:val="en-GB" w:eastAsia="en-GB"/>
              </w:rPr>
              <w:t xml:space="preserve">incident </w:t>
            </w:r>
            <w:r w:rsidR="00986A14" w:rsidRPr="005C3109">
              <w:rPr>
                <w:lang w:val="en-GB" w:eastAsia="en-GB"/>
              </w:rPr>
              <w:t xml:space="preserve">poorly controlled </w:t>
            </w:r>
            <w:r w:rsidR="00986A14">
              <w:rPr>
                <w:lang w:val="en-GB" w:eastAsia="en-GB"/>
              </w:rPr>
              <w:t xml:space="preserve">hypoparathyroidism to their controls. </w:t>
            </w:r>
            <w:r w:rsidR="00986A14" w:rsidRPr="00287AAC">
              <w:t xml:space="preserve">Total visits (to any healthcare </w:t>
            </w:r>
            <w:r w:rsidR="00986A14">
              <w:t>contact indicated below</w:t>
            </w:r>
            <w:r w:rsidR="00986A14" w:rsidRPr="00287AAC">
              <w:t>) will also be calculated.</w:t>
            </w:r>
            <w:r w:rsidR="00986A14">
              <w:t xml:space="preserve"> The costs will be defined using an algorithm developed by </w:t>
            </w:r>
            <w:proofErr w:type="gramStart"/>
            <w:r w:rsidR="00986A14">
              <w:t>ICES.</w:t>
            </w:r>
            <w:r w:rsidR="00783D0C" w:rsidRPr="00783D0C">
              <w:rPr>
                <w:sz w:val="18"/>
                <w:szCs w:val="18"/>
              </w:rPr>
              <w:t>*</w:t>
            </w:r>
            <w:proofErr w:type="gramEnd"/>
            <w:r w:rsidR="00783D0C" w:rsidRPr="00783D0C">
              <w:rPr>
                <w:sz w:val="18"/>
                <w:szCs w:val="18"/>
                <w:vertAlign w:val="superscript"/>
              </w:rPr>
              <w:t xml:space="preserve"> </w:t>
            </w:r>
            <w:r w:rsidR="00986A14" w:rsidRPr="0078717C">
              <w:rPr>
                <w:vertAlign w:val="superscript"/>
              </w:rPr>
              <w:fldChar w:fldCharType="begin"/>
            </w:r>
            <w:r w:rsidR="00986A14" w:rsidRPr="0078717C">
              <w:rPr>
                <w:vertAlign w:val="superscript"/>
              </w:rPr>
              <w:instrText xml:space="preserve"> REF _Ref487002781 \h </w:instrText>
            </w:r>
            <w:r w:rsidR="00986A14">
              <w:rPr>
                <w:vertAlign w:val="superscript"/>
              </w:rPr>
              <w:instrText xml:space="preserve"> \* MERGEFORMAT </w:instrText>
            </w:r>
            <w:r w:rsidR="00986A14" w:rsidRPr="0078717C">
              <w:rPr>
                <w:vertAlign w:val="superscript"/>
              </w:rPr>
            </w:r>
            <w:r w:rsidR="00986A14" w:rsidRPr="0078717C">
              <w:rPr>
                <w:vertAlign w:val="superscript"/>
              </w:rPr>
              <w:fldChar w:fldCharType="end"/>
            </w:r>
          </w:p>
          <w:p w14:paraId="0AC399A0" w14:textId="6E22F7F3" w:rsidR="00A62690" w:rsidRDefault="00986A14" w:rsidP="009E5DB6">
            <w:pPr>
              <w:pStyle w:val="ListParagraph"/>
              <w:numPr>
                <w:ilvl w:val="0"/>
                <w:numId w:val="16"/>
              </w:numPr>
            </w:pPr>
            <w:r>
              <w:t xml:space="preserve">From OHIP </w:t>
            </w:r>
            <w:r w:rsidR="00A62690">
              <w:t>physician billing</w:t>
            </w:r>
          </w:p>
          <w:p w14:paraId="0CE9357E" w14:textId="77777777" w:rsidR="00A62690" w:rsidRDefault="00A62690" w:rsidP="009E5DB6">
            <w:pPr>
              <w:pStyle w:val="ListParagraph"/>
              <w:numPr>
                <w:ilvl w:val="0"/>
                <w:numId w:val="19"/>
              </w:numPr>
            </w:pPr>
            <w:r>
              <w:t>GP (</w:t>
            </w:r>
            <w:r w:rsidRPr="00F06C6D">
              <w:t>FFS_GP_OHIP_COST</w:t>
            </w:r>
            <w:r>
              <w:t>)</w:t>
            </w:r>
          </w:p>
          <w:p w14:paraId="69B5D63F" w14:textId="1D3C9F0C" w:rsidR="00A62690" w:rsidRDefault="00A62690" w:rsidP="009E5DB6">
            <w:pPr>
              <w:pStyle w:val="ListParagraph"/>
              <w:numPr>
                <w:ilvl w:val="0"/>
                <w:numId w:val="19"/>
              </w:numPr>
            </w:pPr>
            <w:r>
              <w:t>Specialist (</w:t>
            </w:r>
            <w:r w:rsidR="007B1740">
              <w:t>Table 7</w:t>
            </w:r>
            <w:r>
              <w:fldChar w:fldCharType="begin"/>
            </w:r>
            <w:r>
              <w:instrText xml:space="preserve"> REF _Ref502163068 \h </w:instrText>
            </w:r>
            <w:r w:rsidR="00E4323E">
              <w:instrText xml:space="preserve"> \* MERGEFORMAT </w:instrText>
            </w:r>
            <w:r>
              <w:fldChar w:fldCharType="end"/>
            </w:r>
            <w:r>
              <w:t>)</w:t>
            </w:r>
          </w:p>
          <w:p w14:paraId="7FE926EB" w14:textId="7C5A6623" w:rsidR="00A62690" w:rsidRDefault="00A62690" w:rsidP="009E5DB6">
            <w:pPr>
              <w:pStyle w:val="ListParagraph"/>
              <w:numPr>
                <w:ilvl w:val="0"/>
                <w:numId w:val="19"/>
              </w:numPr>
            </w:pPr>
            <w:r>
              <w:t>Other</w:t>
            </w:r>
            <w:r w:rsidRPr="00287AAC">
              <w:t xml:space="preserve"> </w:t>
            </w:r>
            <w:r>
              <w:t>(</w:t>
            </w:r>
            <w:r w:rsidR="007B1740">
              <w:t>Table 8</w:t>
            </w:r>
            <w:r>
              <w:fldChar w:fldCharType="begin"/>
            </w:r>
            <w:r>
              <w:instrText xml:space="preserve"> REF _Ref502163072 \h </w:instrText>
            </w:r>
            <w:r w:rsidR="00E4323E">
              <w:instrText xml:space="preserve"> \* MERGEFORMAT </w:instrText>
            </w:r>
            <w:r>
              <w:fldChar w:fldCharType="end"/>
            </w:r>
            <w:r>
              <w:t>)</w:t>
            </w:r>
          </w:p>
          <w:p w14:paraId="2E870520" w14:textId="77777777" w:rsidR="00A62690" w:rsidRDefault="00A62690" w:rsidP="009E5DB6">
            <w:pPr>
              <w:pStyle w:val="ListParagraph"/>
              <w:numPr>
                <w:ilvl w:val="0"/>
                <w:numId w:val="16"/>
              </w:numPr>
            </w:pPr>
            <w:r w:rsidRPr="00287AAC">
              <w:t>emergency department visits</w:t>
            </w:r>
            <w:r>
              <w:t xml:space="preserve"> (</w:t>
            </w:r>
            <w:r w:rsidRPr="00F06C6D">
              <w:t>NACRSED_COST</w:t>
            </w:r>
            <w:r>
              <w:t>)</w:t>
            </w:r>
          </w:p>
          <w:p w14:paraId="0CDC6AEE" w14:textId="77777777" w:rsidR="00A62690" w:rsidRDefault="00A62690" w:rsidP="009E5DB6">
            <w:pPr>
              <w:pStyle w:val="ListParagraph"/>
              <w:numPr>
                <w:ilvl w:val="0"/>
                <w:numId w:val="16"/>
              </w:numPr>
            </w:pPr>
            <w:r>
              <w:t>hospitalizations (</w:t>
            </w:r>
            <w:r w:rsidRPr="00F06C6D">
              <w:t>INPAT_COST</w:t>
            </w:r>
            <w:r>
              <w:t>)</w:t>
            </w:r>
          </w:p>
          <w:p w14:paraId="7EFED8D1" w14:textId="77777777" w:rsidR="00A62690" w:rsidRDefault="00A62690" w:rsidP="009E5DB6">
            <w:pPr>
              <w:pStyle w:val="ListParagraph"/>
              <w:numPr>
                <w:ilvl w:val="0"/>
                <w:numId w:val="16"/>
              </w:numPr>
            </w:pPr>
            <w:r w:rsidRPr="00287AAC">
              <w:t>long term care</w:t>
            </w:r>
            <w:r>
              <w:t xml:space="preserve"> (</w:t>
            </w:r>
            <w:r w:rsidRPr="00F06C6D">
              <w:t>LTC_COST</w:t>
            </w:r>
            <w:r>
              <w:t>)</w:t>
            </w:r>
          </w:p>
          <w:p w14:paraId="11D0B826" w14:textId="77777777" w:rsidR="00A62690" w:rsidRDefault="00A62690" w:rsidP="009E5DB6">
            <w:pPr>
              <w:pStyle w:val="ListParagraph"/>
              <w:numPr>
                <w:ilvl w:val="0"/>
                <w:numId w:val="16"/>
              </w:numPr>
            </w:pPr>
            <w:r w:rsidRPr="00287AAC">
              <w:t>same day surger</w:t>
            </w:r>
            <w:r>
              <w:t>ies (</w:t>
            </w:r>
            <w:r w:rsidRPr="00F06C6D">
              <w:t>SDS_COST</w:t>
            </w:r>
            <w:r>
              <w:t>)</w:t>
            </w:r>
          </w:p>
          <w:p w14:paraId="0F3544C7" w14:textId="77777777" w:rsidR="00A62690" w:rsidRDefault="00A62690" w:rsidP="009E5DB6">
            <w:pPr>
              <w:pStyle w:val="ListParagraph"/>
              <w:numPr>
                <w:ilvl w:val="0"/>
                <w:numId w:val="16"/>
              </w:numPr>
            </w:pPr>
            <w:r>
              <w:t>rehabilitation services (</w:t>
            </w:r>
            <w:r w:rsidRPr="00F06C6D">
              <w:t>NRS_COST</w:t>
            </w:r>
            <w:r>
              <w:t>)</w:t>
            </w:r>
          </w:p>
          <w:p w14:paraId="099C37E6" w14:textId="77777777" w:rsidR="00A62690" w:rsidRPr="00E4323E" w:rsidRDefault="00A62690" w:rsidP="009E5DB6">
            <w:pPr>
              <w:pStyle w:val="ListParagraph"/>
              <w:numPr>
                <w:ilvl w:val="0"/>
                <w:numId w:val="16"/>
              </w:numPr>
              <w:rPr>
                <w:lang w:val="en-GB" w:eastAsia="en-GB"/>
              </w:rPr>
            </w:pPr>
            <w:r w:rsidRPr="00E4323E">
              <w:rPr>
                <w:lang w:val="en-GB" w:eastAsia="en-GB"/>
              </w:rPr>
              <w:t>dialysis clinics (NACRSDIAL_COST)</w:t>
            </w:r>
          </w:p>
          <w:p w14:paraId="49192F79" w14:textId="77777777" w:rsidR="00A62690" w:rsidRPr="00E4323E" w:rsidRDefault="00A62690" w:rsidP="009E5DB6">
            <w:pPr>
              <w:pStyle w:val="ListParagraph"/>
              <w:numPr>
                <w:ilvl w:val="0"/>
                <w:numId w:val="16"/>
              </w:numPr>
              <w:rPr>
                <w:lang w:val="en-GB" w:eastAsia="en-GB"/>
              </w:rPr>
            </w:pPr>
            <w:r w:rsidRPr="00E4323E">
              <w:rPr>
                <w:lang w:val="en-GB" w:eastAsia="en-GB"/>
              </w:rPr>
              <w:t>cancer clinics (NACRSCANCER_COST)</w:t>
            </w:r>
          </w:p>
          <w:p w14:paraId="663F0248" w14:textId="77777777" w:rsidR="00A62690" w:rsidRPr="00E4323E" w:rsidRDefault="00A62690" w:rsidP="009E5DB6">
            <w:pPr>
              <w:pStyle w:val="ListParagraph"/>
              <w:numPr>
                <w:ilvl w:val="0"/>
                <w:numId w:val="16"/>
              </w:numPr>
              <w:rPr>
                <w:lang w:val="en-GB" w:eastAsia="en-GB"/>
              </w:rPr>
            </w:pPr>
            <w:r w:rsidRPr="00E4323E">
              <w:rPr>
                <w:lang w:val="en-GB" w:eastAsia="en-GB"/>
              </w:rPr>
              <w:t xml:space="preserve">outpatient visits </w:t>
            </w:r>
            <w:r>
              <w:t>(</w:t>
            </w:r>
            <w:r w:rsidRPr="00F06C6D">
              <w:t>OUTPAT_COST</w:t>
            </w:r>
            <w:r>
              <w:t>)</w:t>
            </w:r>
          </w:p>
          <w:p w14:paraId="1A476F62" w14:textId="77777777" w:rsidR="00A62690" w:rsidRPr="00E4323E" w:rsidRDefault="00A62690" w:rsidP="009E5DB6">
            <w:pPr>
              <w:pStyle w:val="ListParagraph"/>
              <w:numPr>
                <w:ilvl w:val="0"/>
                <w:numId w:val="16"/>
              </w:numPr>
              <w:rPr>
                <w:lang w:val="en-GB" w:eastAsia="en-GB"/>
              </w:rPr>
            </w:pPr>
            <w:r w:rsidRPr="00E4323E">
              <w:rPr>
                <w:lang w:val="en-GB" w:eastAsia="en-GB"/>
              </w:rPr>
              <w:t>mental health (OMHRS_COST)</w:t>
            </w:r>
          </w:p>
          <w:p w14:paraId="38FE03E0" w14:textId="77777777" w:rsidR="00783D0C" w:rsidRDefault="00783D0C" w:rsidP="00986A14">
            <w:pPr>
              <w:rPr>
                <w:lang w:val="en-GB" w:eastAsia="en-GB"/>
              </w:rPr>
            </w:pPr>
          </w:p>
          <w:p w14:paraId="68CCB40C" w14:textId="24984751" w:rsidR="00684899" w:rsidRDefault="00783D0C" w:rsidP="00986A14">
            <w:pPr>
              <w:rPr>
                <w:sz w:val="16"/>
                <w:szCs w:val="16"/>
                <w:lang w:val="en-GB" w:eastAsia="en-GB"/>
              </w:rPr>
            </w:pPr>
            <w:r w:rsidRPr="00783D0C">
              <w:rPr>
                <w:sz w:val="18"/>
                <w:szCs w:val="18"/>
                <w:lang w:val="en-GB" w:eastAsia="en-GB"/>
              </w:rPr>
              <w:t>*</w:t>
            </w:r>
            <w:r w:rsidRPr="00783D0C">
              <w:rPr>
                <w:sz w:val="16"/>
                <w:szCs w:val="16"/>
                <w:lang w:val="en-GB" w:eastAsia="en-GB"/>
              </w:rPr>
              <w:t xml:space="preserve">Wodchis WP, </w:t>
            </w:r>
            <w:proofErr w:type="spellStart"/>
            <w:r w:rsidRPr="00783D0C">
              <w:rPr>
                <w:sz w:val="16"/>
                <w:szCs w:val="16"/>
                <w:lang w:val="en-GB" w:eastAsia="en-GB"/>
              </w:rPr>
              <w:t>Bushmeneva</w:t>
            </w:r>
            <w:proofErr w:type="spellEnd"/>
            <w:r w:rsidRPr="00783D0C">
              <w:rPr>
                <w:sz w:val="16"/>
                <w:szCs w:val="16"/>
                <w:lang w:val="en-GB" w:eastAsia="en-GB"/>
              </w:rPr>
              <w:t xml:space="preserve"> K, Nikitovic M, McKillop I. Guidelines on Person-Level Costing Using Administrative Databases in Ontario. Working Paper Series. Vol 1. Toronto: Health System Performance Research Network; 2013</w:t>
            </w:r>
          </w:p>
          <w:p w14:paraId="2C1A8BE9" w14:textId="6048ED83" w:rsidR="00783D0C" w:rsidRDefault="00783D0C" w:rsidP="00986A14"/>
        </w:tc>
      </w:tr>
      <w:tr w:rsidR="00684899" w:rsidRPr="002F6DB4" w14:paraId="2C1A8BEE" w14:textId="77777777" w:rsidTr="008D6CEC">
        <w:trPr>
          <w:gridAfter w:val="1"/>
          <w:wAfter w:w="15" w:type="dxa"/>
        </w:trPr>
        <w:tc>
          <w:tcPr>
            <w:tcW w:w="2896" w:type="dxa"/>
            <w:tcBorders>
              <w:top w:val="single" w:sz="4" w:space="0" w:color="999999"/>
              <w:bottom w:val="single" w:sz="4" w:space="0" w:color="999999"/>
              <w:right w:val="single" w:sz="4" w:space="0" w:color="A6A6A6" w:themeColor="background1" w:themeShade="A6"/>
            </w:tcBorders>
            <w:noWrap/>
            <w:tcMar>
              <w:top w:w="15" w:type="dxa"/>
              <w:left w:w="15" w:type="dxa"/>
              <w:bottom w:w="0" w:type="dxa"/>
              <w:right w:w="15" w:type="dxa"/>
            </w:tcMar>
          </w:tcPr>
          <w:p w14:paraId="2C1A8BEC" w14:textId="10B7E9CD" w:rsidR="00684899" w:rsidRPr="007F748E" w:rsidRDefault="006628C2" w:rsidP="0074348C">
            <w:pPr>
              <w:rPr>
                <w:i/>
              </w:rPr>
            </w:pPr>
            <w:r>
              <w:rPr>
                <w:b/>
              </w:rPr>
              <w:lastRenderedPageBreak/>
              <w:t>Baseline Characteristics</w:t>
            </w:r>
          </w:p>
        </w:tc>
        <w:tc>
          <w:tcPr>
            <w:tcW w:w="7199" w:type="dxa"/>
            <w:tcBorders>
              <w:top w:val="single" w:sz="4" w:space="0" w:color="999999"/>
              <w:left w:val="single" w:sz="4" w:space="0" w:color="A6A6A6" w:themeColor="background1" w:themeShade="A6"/>
              <w:bottom w:val="single" w:sz="4" w:space="0" w:color="999999"/>
            </w:tcBorders>
          </w:tcPr>
          <w:p w14:paraId="726E4BA4" w14:textId="25219BF8" w:rsidR="001E1B8F" w:rsidRDefault="001E1B8F" w:rsidP="001E1B8F">
            <w:bookmarkStart w:id="33" w:name="_Toc486318284"/>
            <w:bookmarkStart w:id="34" w:name="_Toc502165541"/>
            <w:r w:rsidRPr="001E1B8F">
              <w:rPr>
                <w:b/>
                <w:bCs/>
              </w:rPr>
              <w:t>Note:</w:t>
            </w:r>
            <w:r w:rsidR="00895DFF">
              <w:rPr>
                <w:b/>
                <w:bCs/>
              </w:rPr>
              <w:t xml:space="preserve"> </w:t>
            </w:r>
            <w:r w:rsidR="0093782C">
              <w:t xml:space="preserve">For each patient, the following characteristics will be measured on, or immediately prior </w:t>
            </w:r>
            <w:r w:rsidR="0093782C" w:rsidRPr="00BD69CA">
              <w:t>to</w:t>
            </w:r>
            <w:r w:rsidR="0093782C">
              <w:t xml:space="preserve"> index date, unless otherwise stated</w:t>
            </w:r>
            <w:r>
              <w:t>.</w:t>
            </w:r>
          </w:p>
          <w:p w14:paraId="4214A872" w14:textId="07F25699" w:rsidR="001E1B8F" w:rsidRPr="00D7189C" w:rsidRDefault="001E1B8F" w:rsidP="001E1B8F"/>
          <w:p w14:paraId="3C25FBC3" w14:textId="7CD8BBA4" w:rsidR="001E1B8F" w:rsidRPr="00D7189C" w:rsidRDefault="0093782C" w:rsidP="001E1B8F">
            <w:pPr>
              <w:rPr>
                <w:rFonts w:cstheme="minorHAnsi"/>
                <w:b/>
              </w:rPr>
            </w:pPr>
            <w:r>
              <w:rPr>
                <w:rFonts w:cstheme="minorHAnsi"/>
                <w:b/>
              </w:rPr>
              <w:t>Neighborhood</w:t>
            </w:r>
            <w:r w:rsidR="001E1B8F" w:rsidRPr="00D7189C">
              <w:rPr>
                <w:rFonts w:cstheme="minorHAnsi"/>
                <w:b/>
              </w:rPr>
              <w:t xml:space="preserve"> Income Quintile (n, %)</w:t>
            </w:r>
            <w:r>
              <w:rPr>
                <w:rFonts w:cstheme="minorHAnsi"/>
                <w:b/>
              </w:rPr>
              <w:t>:</w:t>
            </w:r>
          </w:p>
          <w:p w14:paraId="47F99168" w14:textId="6870CB3C" w:rsidR="0093782C" w:rsidRDefault="001E1B8F" w:rsidP="0093782C">
            <w:r w:rsidRPr="0093782C">
              <w:rPr>
                <w:rFonts w:cstheme="minorHAnsi"/>
              </w:rPr>
              <w:t xml:space="preserve">Using </w:t>
            </w:r>
            <w:r w:rsidR="0093782C" w:rsidRPr="0040061D">
              <w:t>the Statistics Canada</w:t>
            </w:r>
            <w:r w:rsidR="0093782C">
              <w:t>’s</w:t>
            </w:r>
            <w:r w:rsidR="0093782C" w:rsidRPr="0040061D">
              <w:t xml:space="preserve"> Postal Code Conversion File</w:t>
            </w:r>
            <w:r w:rsidR="0093782C">
              <w:t xml:space="preserve"> (PCCF), </w:t>
            </w:r>
            <w:r w:rsidR="0093782C" w:rsidRPr="0040061D">
              <w:t>median income in each dissemination area (</w:t>
            </w:r>
            <w:r w:rsidR="00585575">
              <w:t>DA</w:t>
            </w:r>
            <w:r w:rsidR="0093782C" w:rsidRPr="0040061D">
              <w:t xml:space="preserve">) </w:t>
            </w:r>
            <w:r w:rsidR="00754B53">
              <w:t>is</w:t>
            </w:r>
            <w:r w:rsidR="0093782C" w:rsidRPr="0040061D">
              <w:t xml:space="preserve"> calculated and </w:t>
            </w:r>
            <w:r w:rsidR="0093782C">
              <w:t xml:space="preserve">income </w:t>
            </w:r>
            <w:r w:rsidR="00585575">
              <w:t>in</w:t>
            </w:r>
            <w:r w:rsidR="0093782C">
              <w:t xml:space="preserve"> </w:t>
            </w:r>
            <w:r w:rsidR="0093782C" w:rsidRPr="0040061D">
              <w:t xml:space="preserve">each neighborhood </w:t>
            </w:r>
            <w:r w:rsidR="00754B53">
              <w:t>is</w:t>
            </w:r>
            <w:r w:rsidR="0093782C">
              <w:t xml:space="preserve"> </w:t>
            </w:r>
            <w:r w:rsidR="0093782C" w:rsidRPr="0040061D">
              <w:t xml:space="preserve">divided into quintiles, </w:t>
            </w:r>
            <w:r w:rsidR="00585575">
              <w:t xml:space="preserve">from </w:t>
            </w:r>
            <w:r w:rsidR="0093782C" w:rsidRPr="0040061D">
              <w:t>1</w:t>
            </w:r>
            <w:r w:rsidR="0093782C">
              <w:t xml:space="preserve"> </w:t>
            </w:r>
            <w:r w:rsidR="00585575">
              <w:t>(</w:t>
            </w:r>
            <w:r w:rsidR="0093782C">
              <w:t>lowest</w:t>
            </w:r>
            <w:r w:rsidR="00585575">
              <w:t>) to</w:t>
            </w:r>
            <w:r w:rsidR="0093782C" w:rsidRPr="0040061D">
              <w:t xml:space="preserve"> 5 </w:t>
            </w:r>
            <w:r w:rsidR="00585575">
              <w:t>(</w:t>
            </w:r>
            <w:r w:rsidR="0093782C" w:rsidRPr="0040061D">
              <w:t>highest</w:t>
            </w:r>
            <w:r w:rsidR="00585575">
              <w:t>)</w:t>
            </w:r>
            <w:r w:rsidR="0093782C">
              <w:t>.</w:t>
            </w:r>
          </w:p>
          <w:p w14:paraId="76F0E9C5" w14:textId="158E2D3C" w:rsidR="001E1B8F" w:rsidRDefault="001E1B8F" w:rsidP="001E1B8F"/>
          <w:p w14:paraId="7BD39FBB" w14:textId="25930CB5" w:rsidR="001E1B8F" w:rsidRPr="00D7189C" w:rsidRDefault="001E1B8F" w:rsidP="001E1B8F">
            <w:pPr>
              <w:rPr>
                <w:b/>
              </w:rPr>
            </w:pPr>
            <w:r w:rsidRPr="00D7189C">
              <w:rPr>
                <w:b/>
              </w:rPr>
              <w:t xml:space="preserve">Ontario Marginalization Index </w:t>
            </w:r>
            <w:r w:rsidR="00585575">
              <w:rPr>
                <w:b/>
              </w:rPr>
              <w:t>[</w:t>
            </w:r>
            <w:r w:rsidRPr="00D7189C">
              <w:rPr>
                <w:b/>
              </w:rPr>
              <w:t>ON-Marg</w:t>
            </w:r>
            <w:r w:rsidR="00585575">
              <w:rPr>
                <w:b/>
              </w:rPr>
              <w:t>] (n, %)</w:t>
            </w:r>
            <w:r w:rsidRPr="00D7189C">
              <w:rPr>
                <w:b/>
              </w:rPr>
              <w:t>:</w:t>
            </w:r>
          </w:p>
          <w:p w14:paraId="2B1FDD16" w14:textId="196AAC77" w:rsidR="006B6D66" w:rsidRDefault="006B6D66" w:rsidP="001E1B8F">
            <w:r>
              <w:lastRenderedPageBreak/>
              <w:t>U</w:t>
            </w:r>
            <w:r w:rsidR="001E1B8F" w:rsidRPr="00D7189C">
              <w:t>s</w:t>
            </w:r>
            <w:r>
              <w:t>ing</w:t>
            </w:r>
            <w:r w:rsidR="001E1B8F" w:rsidRPr="00D7189C">
              <w:t xml:space="preserve"> the most recent Census Division</w:t>
            </w:r>
            <w:r w:rsidR="00754B53">
              <w:t xml:space="preserve">, </w:t>
            </w:r>
            <w:r>
              <w:t>report four de</w:t>
            </w:r>
            <w:r w:rsidR="001E1B8F" w:rsidRPr="00D7189C">
              <w:t>privation quintiles</w:t>
            </w:r>
            <w:r>
              <w:t xml:space="preserve"> (</w:t>
            </w:r>
            <w:r w:rsidR="001E1B8F" w:rsidRPr="00D7189C">
              <w:t>Material Deprivation</w:t>
            </w:r>
            <w:r>
              <w:t>,</w:t>
            </w:r>
            <w:r w:rsidR="001E1B8F" w:rsidRPr="00D7189C">
              <w:t xml:space="preserve"> Residential Instability</w:t>
            </w:r>
            <w:r>
              <w:t>,</w:t>
            </w:r>
            <w:r w:rsidR="001E1B8F" w:rsidRPr="00D7189C">
              <w:t xml:space="preserve"> Dependency</w:t>
            </w:r>
            <w:r>
              <w:t>, and</w:t>
            </w:r>
            <w:r w:rsidR="001E1B8F" w:rsidRPr="00D7189C">
              <w:t xml:space="preserve"> Ethnic Concentration</w:t>
            </w:r>
            <w:r>
              <w:t>)</w:t>
            </w:r>
            <w:r w:rsidR="001E1B8F" w:rsidRPr="00D7189C">
              <w:t>.</w:t>
            </w:r>
            <w:r>
              <w:t xml:space="preserve"> </w:t>
            </w:r>
            <w:r w:rsidR="00754B53">
              <w:t>T</w:t>
            </w:r>
            <w:r>
              <w:t>he scores for each dimension are summed (and divided by 4) to give a patient’s marginalization index.</w:t>
            </w:r>
          </w:p>
          <w:p w14:paraId="0E6EBC2D" w14:textId="019123BD" w:rsidR="00585575" w:rsidRDefault="00585575" w:rsidP="001E1B8F">
            <w:pPr>
              <w:rPr>
                <w:rFonts w:cstheme="minorHAnsi"/>
                <w:b/>
              </w:rPr>
            </w:pPr>
          </w:p>
          <w:p w14:paraId="02374DC8" w14:textId="534408EE" w:rsidR="006B6D66" w:rsidRPr="006B6D66" w:rsidRDefault="006B6D66" w:rsidP="006B6D66">
            <w:pPr>
              <w:rPr>
                <w:b/>
                <w:bCs/>
              </w:rPr>
            </w:pPr>
            <w:bookmarkStart w:id="35" w:name="_Toc486318288"/>
            <w:bookmarkStart w:id="36" w:name="_Toc502165546"/>
            <w:r w:rsidRPr="006B6D66">
              <w:rPr>
                <w:b/>
                <w:bCs/>
              </w:rPr>
              <w:t xml:space="preserve">Rural </w:t>
            </w:r>
            <w:r w:rsidR="00A05F9F">
              <w:rPr>
                <w:b/>
                <w:bCs/>
              </w:rPr>
              <w:t>R</w:t>
            </w:r>
            <w:r w:rsidRPr="006B6D66">
              <w:rPr>
                <w:b/>
                <w:bCs/>
              </w:rPr>
              <w:t>esidence</w:t>
            </w:r>
            <w:bookmarkEnd w:id="35"/>
            <w:bookmarkEnd w:id="36"/>
            <w:r>
              <w:rPr>
                <w:b/>
                <w:bCs/>
              </w:rPr>
              <w:t xml:space="preserve"> (n, %):</w:t>
            </w:r>
          </w:p>
          <w:p w14:paraId="2152D80E" w14:textId="74D72976" w:rsidR="006B6D66" w:rsidRDefault="00754B53" w:rsidP="001E1B8F">
            <w:r>
              <w:t xml:space="preserve">Using the most recent Census Division, </w:t>
            </w:r>
            <w:r w:rsidR="00A05F9F">
              <w:t xml:space="preserve">from </w:t>
            </w:r>
            <w:r>
              <w:t>the community</w:t>
            </w:r>
            <w:r w:rsidR="006B6D66">
              <w:t xml:space="preserve"> </w:t>
            </w:r>
            <w:r>
              <w:t>size of</w:t>
            </w:r>
            <w:r w:rsidR="006B6D66">
              <w:t xml:space="preserve"> the postcode associated with a patient’s primary residence</w:t>
            </w:r>
            <w:r>
              <w:t xml:space="preserve">, </w:t>
            </w:r>
            <w:r w:rsidR="00A05F9F">
              <w:t xml:space="preserve">categorize </w:t>
            </w:r>
            <w:r>
              <w:t>as</w:t>
            </w:r>
            <w:r w:rsidR="006B6D66">
              <w:t xml:space="preserve">: </w:t>
            </w:r>
            <w:r w:rsidR="006B6D66" w:rsidRPr="00765635">
              <w:t>rural (popula</w:t>
            </w:r>
            <w:r w:rsidR="006B6D66">
              <w:t xml:space="preserve">tion&lt;10,000); </w:t>
            </w:r>
            <w:r w:rsidR="00895DFF">
              <w:t>small</w:t>
            </w:r>
            <w:r w:rsidR="006B6D66" w:rsidRPr="00765635">
              <w:t xml:space="preserve"> urb</w:t>
            </w:r>
            <w:r w:rsidR="006B6D66">
              <w:t>an (population</w:t>
            </w:r>
            <w:r>
              <w:t>=</w:t>
            </w:r>
            <w:r w:rsidR="006B6D66">
              <w:t>10,000-99,999)</w:t>
            </w:r>
            <w:r w:rsidR="00895DFF">
              <w:t xml:space="preserve">, and </w:t>
            </w:r>
            <w:r w:rsidR="006B6D66" w:rsidRPr="00765635">
              <w:t xml:space="preserve">large </w:t>
            </w:r>
            <w:r w:rsidR="006B6D66">
              <w:t xml:space="preserve">urban (population≥100,000). </w:t>
            </w:r>
          </w:p>
          <w:p w14:paraId="6DC01991" w14:textId="77777777" w:rsidR="006B6D66" w:rsidRDefault="006B6D66" w:rsidP="001E1B8F">
            <w:pPr>
              <w:rPr>
                <w:rFonts w:cstheme="minorHAnsi"/>
                <w:b/>
              </w:rPr>
            </w:pPr>
          </w:p>
          <w:p w14:paraId="4771D09E" w14:textId="08C531B3" w:rsidR="001E1B8F" w:rsidRPr="00D7189C" w:rsidRDefault="001E1B8F" w:rsidP="001E1B8F">
            <w:pPr>
              <w:rPr>
                <w:rFonts w:cstheme="minorHAnsi"/>
                <w:b/>
              </w:rPr>
            </w:pPr>
            <w:r w:rsidRPr="00D7189C">
              <w:rPr>
                <w:rFonts w:cstheme="minorHAnsi"/>
                <w:b/>
              </w:rPr>
              <w:t>Rurality Index of Ontario (n, %)</w:t>
            </w:r>
            <w:r w:rsidR="00895DFF">
              <w:rPr>
                <w:rFonts w:cstheme="minorHAnsi"/>
                <w:b/>
              </w:rPr>
              <w:t>:</w:t>
            </w:r>
          </w:p>
          <w:bookmarkEnd w:id="33"/>
          <w:bookmarkEnd w:id="34"/>
          <w:p w14:paraId="26439175" w14:textId="294AB6CB" w:rsidR="00A62690" w:rsidRDefault="00A05F9F" w:rsidP="001E1B8F">
            <w:r>
              <w:t>Using the most recent census division, t</w:t>
            </w:r>
            <w:r w:rsidR="00A62690">
              <w:t>he Rurality Index Ontario (RIO) is based on the population</w:t>
            </w:r>
            <w:r>
              <w:t xml:space="preserve"> density</w:t>
            </w:r>
            <w:r w:rsidR="00A62690">
              <w:t xml:space="preserve"> and proximity to both basic and advanced care centers for the postcode associated with a patient’s primary residenc</w:t>
            </w:r>
            <w:r>
              <w:t xml:space="preserve">e, </w:t>
            </w:r>
            <w:r w:rsidR="00754B53">
              <w:t>c</w:t>
            </w:r>
            <w:r w:rsidR="00754B53" w:rsidRPr="00754B53">
              <w:rPr>
                <w:rFonts w:cstheme="minorHAnsi"/>
              </w:rPr>
              <w:t>ategori</w:t>
            </w:r>
            <w:r>
              <w:rPr>
                <w:rFonts w:cstheme="minorHAnsi"/>
              </w:rPr>
              <w:t>z</w:t>
            </w:r>
            <w:r w:rsidR="00754B53" w:rsidRPr="00754B53">
              <w:rPr>
                <w:rFonts w:cstheme="minorHAnsi"/>
              </w:rPr>
              <w:t>e</w:t>
            </w:r>
            <w:r w:rsidR="00754B53">
              <w:rPr>
                <w:rFonts w:cstheme="minorHAnsi"/>
              </w:rPr>
              <w:t xml:space="preserve"> </w:t>
            </w:r>
            <w:r>
              <w:rPr>
                <w:rFonts w:cstheme="minorHAnsi"/>
              </w:rPr>
              <w:t>as</w:t>
            </w:r>
            <w:r w:rsidR="00754B53">
              <w:rPr>
                <w:rFonts w:cstheme="minorHAnsi"/>
              </w:rPr>
              <w:t>:</w:t>
            </w:r>
            <w:r w:rsidR="00754B53" w:rsidRPr="00754B53">
              <w:rPr>
                <w:rFonts w:cstheme="minorHAnsi"/>
              </w:rPr>
              <w:t xml:space="preserve"> 0-9 (Large Urban), 10-40 (Small Urban) and 40+ (Rural)</w:t>
            </w:r>
            <w:r w:rsidR="00754B53">
              <w:rPr>
                <w:rFonts w:cstheme="minorHAnsi"/>
              </w:rPr>
              <w:t>.</w:t>
            </w:r>
            <w:r w:rsidR="00A62690">
              <w:t xml:space="preserve">   </w:t>
            </w:r>
          </w:p>
          <w:p w14:paraId="62A6486E" w14:textId="77777777" w:rsidR="00895DFF" w:rsidRDefault="00895DFF" w:rsidP="001E1B8F"/>
          <w:p w14:paraId="092FEEFA" w14:textId="108A9520" w:rsidR="00A62690" w:rsidRPr="00754B53" w:rsidRDefault="00A62690" w:rsidP="001E1B8F">
            <w:pPr>
              <w:rPr>
                <w:b/>
                <w:bCs/>
              </w:rPr>
            </w:pPr>
            <w:bookmarkStart w:id="37" w:name="_Toc486318289"/>
            <w:bookmarkStart w:id="38" w:name="_Toc502165548"/>
            <w:r w:rsidRPr="00754B53">
              <w:rPr>
                <w:b/>
                <w:bCs/>
              </w:rPr>
              <w:t xml:space="preserve">Resource </w:t>
            </w:r>
            <w:r w:rsidR="00A05F9F">
              <w:rPr>
                <w:b/>
                <w:bCs/>
              </w:rPr>
              <w:t>U</w:t>
            </w:r>
            <w:r w:rsidRPr="00754B53">
              <w:rPr>
                <w:b/>
                <w:bCs/>
              </w:rPr>
              <w:t xml:space="preserve">tilization </w:t>
            </w:r>
            <w:r w:rsidR="00A05F9F">
              <w:rPr>
                <w:b/>
                <w:bCs/>
              </w:rPr>
              <w:t>B</w:t>
            </w:r>
            <w:r w:rsidRPr="00754B53">
              <w:rPr>
                <w:b/>
                <w:bCs/>
              </w:rPr>
              <w:t xml:space="preserve">and </w:t>
            </w:r>
            <w:r w:rsidR="00754B53">
              <w:rPr>
                <w:b/>
                <w:bCs/>
              </w:rPr>
              <w:t>[</w:t>
            </w:r>
            <w:r w:rsidRPr="00754B53">
              <w:rPr>
                <w:b/>
                <w:bCs/>
              </w:rPr>
              <w:t>RUB</w:t>
            </w:r>
            <w:bookmarkEnd w:id="37"/>
            <w:bookmarkEnd w:id="38"/>
            <w:r w:rsidR="00754B53">
              <w:rPr>
                <w:b/>
                <w:bCs/>
              </w:rPr>
              <w:t>] (n, %):</w:t>
            </w:r>
          </w:p>
          <w:p w14:paraId="0EEFAC83" w14:textId="6430623B" w:rsidR="00A62690" w:rsidRDefault="00A05F9F" w:rsidP="001E1B8F">
            <w:r>
              <w:t>From the</w:t>
            </w:r>
            <w:r w:rsidR="00A62690">
              <w:t xml:space="preserve"> Adjusted Clinical Groups (ACG)</w:t>
            </w:r>
            <w:r>
              <w:t xml:space="preserve"> software by the </w:t>
            </w:r>
            <w:r w:rsidR="00A62690" w:rsidRPr="00BD69CA">
              <w:t>Johns H</w:t>
            </w:r>
            <w:r w:rsidR="00A62690">
              <w:t>opkins</w:t>
            </w:r>
            <w:r>
              <w:t xml:space="preserve">, </w:t>
            </w:r>
            <w:r w:rsidR="00620544">
              <w:t xml:space="preserve">calculate the </w:t>
            </w:r>
            <w:r w:rsidR="00A62690" w:rsidRPr="00BD69CA">
              <w:t>R</w:t>
            </w:r>
            <w:r w:rsidR="00A62690">
              <w:t>UB r</w:t>
            </w:r>
            <w:r w:rsidR="00A62690" w:rsidRPr="00BD69CA">
              <w:t xml:space="preserve">ankings </w:t>
            </w:r>
            <w:r w:rsidR="00620544">
              <w:t>are calculated</w:t>
            </w:r>
            <w:r w:rsidR="00620544" w:rsidRPr="00BD69CA">
              <w:t xml:space="preserve"> according to </w:t>
            </w:r>
            <w:r w:rsidR="00620544">
              <w:t xml:space="preserve">patient’s </w:t>
            </w:r>
            <w:r w:rsidR="00620544" w:rsidRPr="00BD69CA">
              <w:t xml:space="preserve">morbidity level </w:t>
            </w:r>
            <w:r w:rsidR="00A62690" w:rsidRPr="00BD69CA">
              <w:t xml:space="preserve">from </w:t>
            </w:r>
            <w:r w:rsidR="00620544">
              <w:t>1</w:t>
            </w:r>
            <w:r w:rsidR="00A62690" w:rsidRPr="00BD69CA">
              <w:t xml:space="preserve"> to </w:t>
            </w:r>
            <w:r w:rsidR="00A62690">
              <w:t>5</w:t>
            </w:r>
            <w:r w:rsidR="00620544">
              <w:t>. C</w:t>
            </w:r>
            <w:r w:rsidR="00A62690">
              <w:t xml:space="preserve">alculate RUB at index date, or the RUB closest to index in the lookback period. Where no RUB is available, a missing RUB </w:t>
            </w:r>
            <w:r w:rsidR="00620544">
              <w:t>is</w:t>
            </w:r>
            <w:r w:rsidR="00A62690">
              <w:t xml:space="preserve"> be reported.</w:t>
            </w:r>
          </w:p>
          <w:p w14:paraId="66DE912C" w14:textId="77777777" w:rsidR="00A05F9F" w:rsidRDefault="00A05F9F" w:rsidP="001E1B8F">
            <w:pPr>
              <w:rPr>
                <w:b/>
                <w:bCs/>
              </w:rPr>
            </w:pPr>
            <w:bookmarkStart w:id="39" w:name="_Toc486318290"/>
            <w:bookmarkStart w:id="40" w:name="_Toc502165549"/>
          </w:p>
          <w:p w14:paraId="1BB9E034" w14:textId="0B74EC69" w:rsidR="00A62690" w:rsidRPr="00A05F9F" w:rsidRDefault="00A62690" w:rsidP="001E1B8F">
            <w:pPr>
              <w:rPr>
                <w:b/>
                <w:bCs/>
              </w:rPr>
            </w:pPr>
            <w:r w:rsidRPr="00A05F9F">
              <w:rPr>
                <w:b/>
                <w:bCs/>
              </w:rPr>
              <w:t>Local Health Integration Network (LHIN) of residence</w:t>
            </w:r>
            <w:bookmarkEnd w:id="39"/>
            <w:bookmarkEnd w:id="40"/>
            <w:r w:rsidR="00A05F9F">
              <w:rPr>
                <w:b/>
                <w:bCs/>
              </w:rPr>
              <w:t xml:space="preserve"> (n, %):</w:t>
            </w:r>
          </w:p>
          <w:p w14:paraId="44DAF0B9" w14:textId="2FB4407D" w:rsidR="00A62690" w:rsidRDefault="00620544" w:rsidP="001E1B8F">
            <w:r>
              <w:t xml:space="preserve">For each patient, extract their LHIN on, or immediately prior </w:t>
            </w:r>
            <w:r w:rsidRPr="00BD69CA">
              <w:t>to</w:t>
            </w:r>
            <w:r>
              <w:t>, each index date. There are 14 categories reported indicating 14 LHIN in Ontario.</w:t>
            </w:r>
          </w:p>
          <w:p w14:paraId="12669FA7" w14:textId="77777777" w:rsidR="00A05F9F" w:rsidRDefault="00A05F9F" w:rsidP="001E1B8F">
            <w:pPr>
              <w:rPr>
                <w:b/>
                <w:bCs/>
              </w:rPr>
            </w:pPr>
            <w:bookmarkStart w:id="41" w:name="_Toc486318291"/>
            <w:bookmarkStart w:id="42" w:name="_Toc502165550"/>
          </w:p>
          <w:p w14:paraId="768D794E" w14:textId="77777777" w:rsidR="00620544" w:rsidRDefault="00A62690" w:rsidP="001E1B8F">
            <w:pPr>
              <w:rPr>
                <w:b/>
                <w:bCs/>
              </w:rPr>
            </w:pPr>
            <w:proofErr w:type="spellStart"/>
            <w:r w:rsidRPr="00A05F9F">
              <w:rPr>
                <w:b/>
                <w:bCs/>
              </w:rPr>
              <w:t>Charlson</w:t>
            </w:r>
            <w:proofErr w:type="spellEnd"/>
            <w:r w:rsidRPr="00A05F9F">
              <w:rPr>
                <w:b/>
                <w:bCs/>
              </w:rPr>
              <w:t xml:space="preserve"> Comorbidity Index </w:t>
            </w:r>
            <w:r w:rsidR="00620544">
              <w:rPr>
                <w:b/>
                <w:bCs/>
              </w:rPr>
              <w:t>[</w:t>
            </w:r>
            <w:r w:rsidRPr="00A05F9F">
              <w:rPr>
                <w:b/>
                <w:bCs/>
              </w:rPr>
              <w:t>CCI</w:t>
            </w:r>
            <w:bookmarkEnd w:id="41"/>
            <w:bookmarkEnd w:id="42"/>
            <w:r w:rsidR="00620544">
              <w:rPr>
                <w:b/>
                <w:bCs/>
              </w:rPr>
              <w:t xml:space="preserve">] </w:t>
            </w:r>
            <w:r w:rsidR="00A05F9F">
              <w:rPr>
                <w:b/>
                <w:bCs/>
              </w:rPr>
              <w:t>(n, %):</w:t>
            </w:r>
          </w:p>
          <w:p w14:paraId="435DE1E4" w14:textId="410668F1" w:rsidR="00A62690" w:rsidRPr="00620544" w:rsidRDefault="00620544" w:rsidP="001E1B8F">
            <w:pPr>
              <w:rPr>
                <w:b/>
                <w:bCs/>
              </w:rPr>
            </w:pPr>
            <w:r>
              <w:t>A</w:t>
            </w:r>
            <w:r w:rsidRPr="007269D0">
              <w:t xml:space="preserve">s a </w:t>
            </w:r>
            <w:r>
              <w:t xml:space="preserve">measure </w:t>
            </w:r>
            <w:r w:rsidRPr="007269D0">
              <w:t>based on the</w:t>
            </w:r>
            <w:r>
              <w:t xml:space="preserve"> </w:t>
            </w:r>
            <w:r w:rsidRPr="007269D0">
              <w:t>presence of a defined set of comorbid cond</w:t>
            </w:r>
            <w:r>
              <w:t xml:space="preserve">itions for each </w:t>
            </w:r>
            <w:proofErr w:type="gramStart"/>
            <w:r>
              <w:t>patients</w:t>
            </w:r>
            <w:proofErr w:type="gramEnd"/>
            <w:r>
              <w:t xml:space="preserve"> through in-hospital admissions, </w:t>
            </w:r>
            <w:r w:rsidR="00A62690">
              <w:t xml:space="preserve">CCI </w:t>
            </w:r>
            <w:r w:rsidR="00723519">
              <w:t>scores in the study is</w:t>
            </w:r>
            <w:r>
              <w:t xml:space="preserve"> categorized</w:t>
            </w:r>
            <w:r w:rsidR="00A62690">
              <w:t xml:space="preserve"> as: </w:t>
            </w:r>
            <w:r>
              <w:t>Missing, 1, 2, 3, and &gt;4.</w:t>
            </w:r>
          </w:p>
          <w:p w14:paraId="2C1A8BED" w14:textId="324074F7" w:rsidR="00684899" w:rsidRDefault="00684899" w:rsidP="001E1B8F"/>
        </w:tc>
      </w:tr>
      <w:tr w:rsidR="0093782C" w:rsidRPr="002F6DB4" w14:paraId="2C1A8BF2" w14:textId="77777777" w:rsidTr="008D6CEC">
        <w:trPr>
          <w:gridAfter w:val="1"/>
          <w:wAfter w:w="15" w:type="dxa"/>
        </w:trPr>
        <w:tc>
          <w:tcPr>
            <w:tcW w:w="2896" w:type="dxa"/>
            <w:tcBorders>
              <w:top w:val="single" w:sz="4" w:space="0" w:color="999999"/>
              <w:bottom w:val="single" w:sz="12" w:space="0" w:color="auto"/>
              <w:right w:val="single" w:sz="4" w:space="0" w:color="A6A6A6" w:themeColor="background1" w:themeShade="A6"/>
            </w:tcBorders>
            <w:noWrap/>
            <w:tcMar>
              <w:top w:w="15" w:type="dxa"/>
              <w:left w:w="15" w:type="dxa"/>
              <w:bottom w:w="0" w:type="dxa"/>
              <w:right w:w="15" w:type="dxa"/>
            </w:tcMar>
          </w:tcPr>
          <w:p w14:paraId="2C1A8BF0" w14:textId="1607D01D" w:rsidR="0093782C" w:rsidRDefault="0093782C" w:rsidP="0093782C">
            <w:pPr>
              <w:rPr>
                <w:b/>
              </w:rPr>
            </w:pPr>
            <w:r>
              <w:rPr>
                <w:b/>
              </w:rPr>
              <w:lastRenderedPageBreak/>
              <w:t>Other Covariates</w:t>
            </w:r>
          </w:p>
        </w:tc>
        <w:tc>
          <w:tcPr>
            <w:tcW w:w="7199" w:type="dxa"/>
            <w:tcBorders>
              <w:top w:val="single" w:sz="4" w:space="0" w:color="999999"/>
              <w:left w:val="single" w:sz="4" w:space="0" w:color="A6A6A6" w:themeColor="background1" w:themeShade="A6"/>
              <w:bottom w:val="single" w:sz="12" w:space="0" w:color="auto"/>
            </w:tcBorders>
          </w:tcPr>
          <w:p w14:paraId="1D9C97BA" w14:textId="330D3DC8" w:rsidR="005F2638" w:rsidRPr="005F2638" w:rsidRDefault="0093782C" w:rsidP="00E50706">
            <w:r>
              <w:rPr>
                <w:b/>
                <w:bCs/>
              </w:rPr>
              <w:t>Index Year</w:t>
            </w:r>
            <w:r w:rsidR="007B1740">
              <w:rPr>
                <w:b/>
                <w:bCs/>
              </w:rPr>
              <w:t>:</w:t>
            </w:r>
            <w:r w:rsidR="00E50706">
              <w:rPr>
                <w:b/>
                <w:bCs/>
              </w:rPr>
              <w:t xml:space="preserve"> </w:t>
            </w:r>
            <w:r w:rsidR="00E50706" w:rsidRPr="00E50706">
              <w:t>(2008, 2009, 2010)</w:t>
            </w:r>
          </w:p>
          <w:p w14:paraId="75E32019" w14:textId="77777777" w:rsidR="0093782C" w:rsidRDefault="0093782C" w:rsidP="0093782C">
            <w:pPr>
              <w:rPr>
                <w:b/>
                <w:bCs/>
              </w:rPr>
            </w:pPr>
          </w:p>
          <w:p w14:paraId="5C56BFAA" w14:textId="4BED9E6A" w:rsidR="0093782C" w:rsidRPr="001E1B8F" w:rsidRDefault="0093782C" w:rsidP="0093782C">
            <w:pPr>
              <w:rPr>
                <w:b/>
                <w:bCs/>
              </w:rPr>
            </w:pPr>
            <w:r w:rsidRPr="001E1B8F">
              <w:rPr>
                <w:b/>
                <w:bCs/>
              </w:rPr>
              <w:t xml:space="preserve">Type of </w:t>
            </w:r>
            <w:r w:rsidRPr="001E1B8F">
              <w:rPr>
                <w:b/>
                <w:bCs/>
                <w:lang w:eastAsia="en-GB"/>
              </w:rPr>
              <w:t>hypoparathyroidism</w:t>
            </w:r>
          </w:p>
          <w:p w14:paraId="0703CB6E" w14:textId="77777777" w:rsidR="0093782C" w:rsidRDefault="0093782C" w:rsidP="0093782C">
            <w:pPr>
              <w:rPr>
                <w:lang w:eastAsia="en-GB"/>
              </w:rPr>
            </w:pPr>
            <w:r>
              <w:rPr>
                <w:lang w:eastAsia="en-GB"/>
              </w:rPr>
              <w:t xml:space="preserve">The </w:t>
            </w:r>
            <w:proofErr w:type="gramStart"/>
            <w:r>
              <w:rPr>
                <w:lang w:eastAsia="en-GB"/>
              </w:rPr>
              <w:t>manner in which</w:t>
            </w:r>
            <w:proofErr w:type="gramEnd"/>
            <w:r>
              <w:rPr>
                <w:lang w:eastAsia="en-GB"/>
              </w:rPr>
              <w:t xml:space="preserve"> a patient is defined as having</w:t>
            </w:r>
            <w:r w:rsidRPr="008C62A9">
              <w:rPr>
                <w:lang w:eastAsia="en-GB"/>
              </w:rPr>
              <w:t xml:space="preserve"> </w:t>
            </w:r>
            <w:r w:rsidRPr="007C2CC8">
              <w:rPr>
                <w:lang w:eastAsia="en-GB"/>
              </w:rPr>
              <w:t>hypoparathyroidism</w:t>
            </w:r>
            <w:r>
              <w:rPr>
                <w:lang w:eastAsia="en-GB"/>
              </w:rPr>
              <w:t>. Categorized as patients who have:</w:t>
            </w:r>
          </w:p>
          <w:p w14:paraId="379FF94D" w14:textId="2CD0A7ED" w:rsidR="0093782C" w:rsidRDefault="0093782C" w:rsidP="009E5DB6">
            <w:pPr>
              <w:pStyle w:val="ListParagraph"/>
              <w:numPr>
                <w:ilvl w:val="0"/>
                <w:numId w:val="25"/>
              </w:numPr>
              <w:rPr>
                <w:lang w:eastAsia="en-GB"/>
              </w:rPr>
            </w:pPr>
            <w:r>
              <w:rPr>
                <w:lang w:eastAsia="en-GB"/>
              </w:rPr>
              <w:t>a d</w:t>
            </w:r>
            <w:r w:rsidRPr="007C2CC8">
              <w:rPr>
                <w:lang w:eastAsia="en-GB"/>
              </w:rPr>
              <w:t>iagnosis of hypoparathyroidism</w:t>
            </w:r>
            <w:r>
              <w:rPr>
                <w:lang w:eastAsia="en-GB"/>
              </w:rPr>
              <w:t xml:space="preserve"> (</w:t>
            </w:r>
            <w:r w:rsidR="007B1740">
              <w:rPr>
                <w:lang w:eastAsia="en-GB"/>
              </w:rPr>
              <w:t>Table 1</w:t>
            </w:r>
            <w:r>
              <w:rPr>
                <w:lang w:eastAsia="en-GB"/>
              </w:rPr>
              <w:fldChar w:fldCharType="begin"/>
            </w:r>
            <w:r>
              <w:rPr>
                <w:lang w:eastAsia="en-GB"/>
              </w:rPr>
              <w:instrText xml:space="preserve"> REF _Ref483321428 \h  \* MERGEFORMAT </w:instrText>
            </w:r>
            <w:r>
              <w:rPr>
                <w:lang w:eastAsia="en-GB"/>
              </w:rPr>
            </w:r>
            <w:r>
              <w:rPr>
                <w:lang w:eastAsia="en-GB"/>
              </w:rPr>
              <w:fldChar w:fldCharType="end"/>
            </w:r>
            <w:proofErr w:type="gramStart"/>
            <w:r>
              <w:rPr>
                <w:lang w:eastAsia="en-GB"/>
              </w:rPr>
              <w:t>);</w:t>
            </w:r>
            <w:proofErr w:type="gramEnd"/>
          </w:p>
          <w:p w14:paraId="0F2BDD9C" w14:textId="7A621770" w:rsidR="0093782C" w:rsidRDefault="0093782C" w:rsidP="009E5DB6">
            <w:pPr>
              <w:pStyle w:val="ListParagraph"/>
              <w:numPr>
                <w:ilvl w:val="0"/>
                <w:numId w:val="25"/>
              </w:numPr>
              <w:rPr>
                <w:lang w:eastAsia="en-GB"/>
              </w:rPr>
            </w:pPr>
            <w:r w:rsidRPr="007C2CC8">
              <w:rPr>
                <w:lang w:eastAsia="en-GB"/>
              </w:rPr>
              <w:t>a disorder of calcium metabolism diagnosis following a hypoparathyroidism predictive procedure</w:t>
            </w:r>
            <w:r>
              <w:rPr>
                <w:lang w:eastAsia="en-GB"/>
              </w:rPr>
              <w:t xml:space="preserve"> (</w:t>
            </w:r>
            <w:r w:rsidR="007B1740">
              <w:rPr>
                <w:lang w:eastAsia="en-GB"/>
              </w:rPr>
              <w:t>Table 2</w:t>
            </w:r>
            <w:r>
              <w:rPr>
                <w:lang w:eastAsia="en-GB"/>
              </w:rPr>
              <w:fldChar w:fldCharType="begin"/>
            </w:r>
            <w:r>
              <w:rPr>
                <w:lang w:eastAsia="en-GB"/>
              </w:rPr>
              <w:instrText xml:space="preserve"> REF _Ref483323740 \h  \* MERGEFORMAT </w:instrText>
            </w:r>
            <w:r>
              <w:rPr>
                <w:lang w:eastAsia="en-GB"/>
              </w:rPr>
            </w:r>
            <w:r>
              <w:rPr>
                <w:lang w:eastAsia="en-GB"/>
              </w:rPr>
              <w:fldChar w:fldCharType="end"/>
            </w:r>
            <w:proofErr w:type="gramStart"/>
            <w:r>
              <w:rPr>
                <w:lang w:eastAsia="en-GB"/>
              </w:rPr>
              <w:t>);</w:t>
            </w:r>
            <w:proofErr w:type="gramEnd"/>
          </w:p>
          <w:p w14:paraId="20E16CF6" w14:textId="69EF343F" w:rsidR="0093782C" w:rsidRDefault="0093782C" w:rsidP="009E5DB6">
            <w:pPr>
              <w:pStyle w:val="ListParagraph"/>
              <w:numPr>
                <w:ilvl w:val="0"/>
                <w:numId w:val="25"/>
              </w:numPr>
              <w:rPr>
                <w:lang w:eastAsia="en-GB"/>
              </w:rPr>
            </w:pPr>
            <w:r w:rsidRPr="007C2CC8">
              <w:rPr>
                <w:lang w:eastAsia="en-GB"/>
              </w:rPr>
              <w:t>a disorder of calcium metabolism diagnosis prior to or following a hypopara</w:t>
            </w:r>
            <w:r>
              <w:rPr>
                <w:lang w:eastAsia="en-GB"/>
              </w:rPr>
              <w:t>thyroidism predictive diagnosis (</w:t>
            </w:r>
            <w:r w:rsidR="007B1740">
              <w:rPr>
                <w:lang w:eastAsia="en-GB"/>
              </w:rPr>
              <w:t>Table 3</w:t>
            </w:r>
            <w:r>
              <w:rPr>
                <w:lang w:eastAsia="en-GB"/>
              </w:rPr>
              <w:fldChar w:fldCharType="begin"/>
            </w:r>
            <w:r>
              <w:rPr>
                <w:lang w:eastAsia="en-GB"/>
              </w:rPr>
              <w:instrText xml:space="preserve"> REF _Ref483481670 \h  \* MERGEFORMAT </w:instrText>
            </w:r>
            <w:r>
              <w:rPr>
                <w:lang w:eastAsia="en-GB"/>
              </w:rPr>
            </w:r>
            <w:r>
              <w:rPr>
                <w:lang w:eastAsia="en-GB"/>
              </w:rPr>
              <w:fldChar w:fldCharType="end"/>
            </w:r>
            <w:r>
              <w:rPr>
                <w:lang w:eastAsia="en-GB"/>
              </w:rPr>
              <w:t xml:space="preserve">). </w:t>
            </w:r>
          </w:p>
          <w:p w14:paraId="031DD131" w14:textId="77777777" w:rsidR="0093782C" w:rsidRDefault="0093782C" w:rsidP="0093782C">
            <w:pPr>
              <w:rPr>
                <w:lang w:eastAsia="en-GB"/>
              </w:rPr>
            </w:pPr>
            <w:r>
              <w:rPr>
                <w:lang w:eastAsia="en-GB"/>
              </w:rPr>
              <w:t>Where a patient has more than one of the above, the order above is the order of presence for reporting.</w:t>
            </w:r>
          </w:p>
          <w:p w14:paraId="29EF04A4" w14:textId="77777777" w:rsidR="0093782C" w:rsidRDefault="0093782C" w:rsidP="0093782C">
            <w:pPr>
              <w:rPr>
                <w:b/>
                <w:bCs/>
              </w:rPr>
            </w:pPr>
            <w:bookmarkStart w:id="43" w:name="_Toc486318285"/>
            <w:bookmarkStart w:id="44" w:name="_Toc502165542"/>
          </w:p>
          <w:p w14:paraId="5191D821" w14:textId="77777777" w:rsidR="0093782C" w:rsidRPr="001E1B8F" w:rsidRDefault="0093782C" w:rsidP="0093782C">
            <w:pPr>
              <w:rPr>
                <w:b/>
                <w:bCs/>
              </w:rPr>
            </w:pPr>
            <w:r w:rsidRPr="001E1B8F">
              <w:rPr>
                <w:b/>
                <w:bCs/>
              </w:rPr>
              <w:t>Pseudo</w:t>
            </w:r>
            <w:r w:rsidRPr="001E1B8F">
              <w:rPr>
                <w:b/>
                <w:bCs/>
                <w:lang w:eastAsia="en-GB"/>
              </w:rPr>
              <w:t>hypoparathyroidism</w:t>
            </w:r>
            <w:bookmarkEnd w:id="43"/>
            <w:bookmarkEnd w:id="44"/>
          </w:p>
          <w:p w14:paraId="631D3E95" w14:textId="7BB9940E" w:rsidR="0093782C" w:rsidRDefault="0093782C" w:rsidP="0093782C">
            <w:pPr>
              <w:rPr>
                <w:lang w:eastAsia="en-GB"/>
              </w:rPr>
            </w:pPr>
            <w:r>
              <w:rPr>
                <w:lang w:eastAsia="en-GB"/>
              </w:rPr>
              <w:lastRenderedPageBreak/>
              <w:t>For patients who have been defined as</w:t>
            </w:r>
            <w:r w:rsidRPr="008C62A9">
              <w:rPr>
                <w:lang w:eastAsia="en-GB"/>
              </w:rPr>
              <w:t xml:space="preserve"> </w:t>
            </w:r>
            <w:r w:rsidRPr="007C2CC8">
              <w:rPr>
                <w:lang w:eastAsia="en-GB"/>
              </w:rPr>
              <w:t>hypoparathyroidism</w:t>
            </w:r>
            <w:r>
              <w:rPr>
                <w:lang w:eastAsia="en-GB"/>
              </w:rPr>
              <w:t xml:space="preserve"> through a d</w:t>
            </w:r>
            <w:r w:rsidRPr="007C2CC8">
              <w:rPr>
                <w:lang w:eastAsia="en-GB"/>
              </w:rPr>
              <w:t>iagnosis of hypoparathyroidism</w:t>
            </w:r>
            <w:r>
              <w:rPr>
                <w:lang w:eastAsia="en-GB"/>
              </w:rPr>
              <w:t xml:space="preserve"> (</w:t>
            </w:r>
            <w:r w:rsidR="007B1740">
              <w:rPr>
                <w:lang w:eastAsia="en-GB"/>
              </w:rPr>
              <w:t>Table 1</w:t>
            </w:r>
            <w:r>
              <w:rPr>
                <w:lang w:eastAsia="en-GB"/>
              </w:rPr>
              <w:fldChar w:fldCharType="begin"/>
            </w:r>
            <w:r>
              <w:rPr>
                <w:lang w:eastAsia="en-GB"/>
              </w:rPr>
              <w:instrText xml:space="preserve"> REF _Ref483321428 \h  \* MERGEFORMAT </w:instrText>
            </w:r>
            <w:r>
              <w:rPr>
                <w:lang w:eastAsia="en-GB"/>
              </w:rPr>
            </w:r>
            <w:r>
              <w:rPr>
                <w:lang w:eastAsia="en-GB"/>
              </w:rPr>
              <w:fldChar w:fldCharType="end"/>
            </w:r>
            <w:r>
              <w:rPr>
                <w:lang w:eastAsia="en-GB"/>
              </w:rPr>
              <w:t>), patients whose diagnosis is ICD-10 code E20.1 (P</w:t>
            </w:r>
            <w:r w:rsidRPr="002C70B4">
              <w:rPr>
                <w:lang w:eastAsia="en-GB"/>
              </w:rPr>
              <w:t>seudohypoparathyroidism</w:t>
            </w:r>
            <w:r>
              <w:rPr>
                <w:lang w:eastAsia="en-GB"/>
              </w:rPr>
              <w:t xml:space="preserve">) will </w:t>
            </w:r>
            <w:proofErr w:type="gramStart"/>
            <w:r>
              <w:rPr>
                <w:lang w:eastAsia="en-GB"/>
              </w:rPr>
              <w:t>defined</w:t>
            </w:r>
            <w:proofErr w:type="gramEnd"/>
            <w:r>
              <w:rPr>
                <w:lang w:eastAsia="en-GB"/>
              </w:rPr>
              <w:t xml:space="preserve"> as p</w:t>
            </w:r>
            <w:r w:rsidRPr="002C70B4">
              <w:rPr>
                <w:lang w:eastAsia="en-GB"/>
              </w:rPr>
              <w:t>seudohypoparathyroidism</w:t>
            </w:r>
            <w:r>
              <w:rPr>
                <w:lang w:eastAsia="en-GB"/>
              </w:rPr>
              <w:t>. Patients who have not been defined as</w:t>
            </w:r>
            <w:r w:rsidRPr="008C62A9">
              <w:rPr>
                <w:lang w:eastAsia="en-GB"/>
              </w:rPr>
              <w:t xml:space="preserve"> </w:t>
            </w:r>
            <w:r w:rsidRPr="007C2CC8">
              <w:rPr>
                <w:lang w:eastAsia="en-GB"/>
              </w:rPr>
              <w:t>hypoparathyroidism</w:t>
            </w:r>
            <w:r>
              <w:rPr>
                <w:lang w:eastAsia="en-GB"/>
              </w:rPr>
              <w:t xml:space="preserve"> through a d</w:t>
            </w:r>
            <w:r w:rsidRPr="007C2CC8">
              <w:rPr>
                <w:lang w:eastAsia="en-GB"/>
              </w:rPr>
              <w:t>iagnosis of hypoparathyroidism</w:t>
            </w:r>
            <w:r>
              <w:rPr>
                <w:lang w:eastAsia="en-GB"/>
              </w:rPr>
              <w:t xml:space="preserve"> (</w:t>
            </w:r>
            <w:r w:rsidR="007B1740">
              <w:rPr>
                <w:lang w:eastAsia="en-GB"/>
              </w:rPr>
              <w:t>Table 1</w:t>
            </w:r>
            <w:r>
              <w:rPr>
                <w:lang w:eastAsia="en-GB"/>
              </w:rPr>
              <w:fldChar w:fldCharType="begin"/>
            </w:r>
            <w:r>
              <w:rPr>
                <w:lang w:eastAsia="en-GB"/>
              </w:rPr>
              <w:instrText xml:space="preserve"> REF _Ref483321428 \h  \* MERGEFORMAT </w:instrText>
            </w:r>
            <w:r>
              <w:rPr>
                <w:lang w:eastAsia="en-GB"/>
              </w:rPr>
            </w:r>
            <w:r>
              <w:rPr>
                <w:lang w:eastAsia="en-GB"/>
              </w:rPr>
              <w:fldChar w:fldCharType="end"/>
            </w:r>
            <w:r>
              <w:rPr>
                <w:lang w:eastAsia="en-GB"/>
              </w:rPr>
              <w:t>) will have a missing p</w:t>
            </w:r>
            <w:r w:rsidRPr="002C70B4">
              <w:rPr>
                <w:lang w:eastAsia="en-GB"/>
              </w:rPr>
              <w:t>seudohypoparathyroidism</w:t>
            </w:r>
            <w:r>
              <w:rPr>
                <w:lang w:eastAsia="en-GB"/>
              </w:rPr>
              <w:t xml:space="preserve"> value.</w:t>
            </w:r>
          </w:p>
          <w:p w14:paraId="2C1A8BF1" w14:textId="50FAD8BF" w:rsidR="0093782C" w:rsidRDefault="0093782C" w:rsidP="0093782C"/>
        </w:tc>
      </w:tr>
    </w:tbl>
    <w:p w14:paraId="06BFBDE9" w14:textId="77777777" w:rsidR="00544E10" w:rsidRDefault="00544E10"/>
    <w:p w14:paraId="414A68C0" w14:textId="77777777" w:rsidR="000A0653" w:rsidRDefault="000A0653"/>
    <w:tbl>
      <w:tblPr>
        <w:tblW w:w="5000" w:type="pct"/>
        <w:tblBorders>
          <w:top w:val="single" w:sz="4" w:space="0" w:color="auto"/>
          <w:bottom w:val="single" w:sz="4" w:space="0" w:color="auto"/>
          <w:insideH w:val="single" w:sz="4" w:space="0" w:color="auto"/>
        </w:tblBorders>
        <w:tblCellMar>
          <w:left w:w="0" w:type="dxa"/>
          <w:right w:w="0" w:type="dxa"/>
        </w:tblCellMar>
        <w:tblLook w:val="00A0" w:firstRow="1" w:lastRow="0" w:firstColumn="1" w:lastColumn="0" w:noHBand="0" w:noVBand="0"/>
      </w:tblPr>
      <w:tblGrid>
        <w:gridCol w:w="3340"/>
        <w:gridCol w:w="6724"/>
        <w:gridCol w:w="16"/>
      </w:tblGrid>
      <w:tr w:rsidR="00544E10" w14:paraId="6E4F3B7F" w14:textId="77777777" w:rsidTr="00D62BCC">
        <w:trPr>
          <w:trHeight w:val="189"/>
          <w:tblHeader/>
        </w:trPr>
        <w:tc>
          <w:tcPr>
            <w:tcW w:w="5000" w:type="pct"/>
            <w:gridSpan w:val="3"/>
            <w:tcBorders>
              <w:top w:val="double" w:sz="4" w:space="0" w:color="auto"/>
              <w:bottom w:val="double" w:sz="4" w:space="0" w:color="auto"/>
            </w:tcBorders>
            <w:shd w:val="clear" w:color="auto" w:fill="E0E0E0"/>
            <w:noWrap/>
            <w:tcMar>
              <w:top w:w="15" w:type="dxa"/>
              <w:left w:w="15" w:type="dxa"/>
              <w:bottom w:w="0" w:type="dxa"/>
              <w:right w:w="15" w:type="dxa"/>
            </w:tcMar>
            <w:vAlign w:val="center"/>
          </w:tcPr>
          <w:p w14:paraId="3CA973E7" w14:textId="77777777" w:rsidR="00544E10" w:rsidRDefault="00544E10" w:rsidP="00B07A95">
            <w:pPr>
              <w:pStyle w:val="Heading2"/>
            </w:pPr>
            <w:bookmarkStart w:id="45" w:name="_Results"/>
            <w:bookmarkEnd w:id="45"/>
            <w:r>
              <w:t xml:space="preserve">Analysis Plan </w:t>
            </w:r>
            <w:r w:rsidR="00EE4DE9">
              <w:t>and Dummy Tables</w:t>
            </w:r>
            <w:r w:rsidR="00700135">
              <w:t xml:space="preserve"> (expand</w:t>
            </w:r>
            <w:r w:rsidR="00384610">
              <w:t>/modify</w:t>
            </w:r>
            <w:r w:rsidR="00700135">
              <w:t xml:space="preserve"> as needed)</w:t>
            </w:r>
          </w:p>
          <w:p w14:paraId="32F413C5" w14:textId="2C07DD03" w:rsidR="00427DA3" w:rsidRPr="005F554C" w:rsidRDefault="00427DA3" w:rsidP="00427DA3">
            <w:pPr>
              <w:jc w:val="center"/>
              <w:rPr>
                <w:i/>
                <w:sz w:val="16"/>
                <w:szCs w:val="16"/>
              </w:rPr>
            </w:pPr>
            <w:r w:rsidRPr="005F554C">
              <w:rPr>
                <w:i/>
                <w:sz w:val="16"/>
                <w:szCs w:val="16"/>
              </w:rPr>
              <w:t>(</w:t>
            </w:r>
            <w:r w:rsidR="00B72CA5" w:rsidRPr="005F554C">
              <w:rPr>
                <w:i/>
                <w:sz w:val="16"/>
                <w:szCs w:val="16"/>
              </w:rPr>
              <w:t>p</w:t>
            </w:r>
            <w:r w:rsidRPr="005F554C">
              <w:rPr>
                <w:i/>
                <w:sz w:val="16"/>
                <w:szCs w:val="16"/>
              </w:rPr>
              <w:t>lease ensure the analysis plan is outlined with dummy tables (can be a separate document)</w:t>
            </w:r>
          </w:p>
          <w:p w14:paraId="680A4D95" w14:textId="58A74B59" w:rsidR="00427DA3" w:rsidRPr="00427DA3" w:rsidRDefault="00427DA3" w:rsidP="00427DA3">
            <w:pPr>
              <w:jc w:val="center"/>
              <w:rPr>
                <w:i/>
              </w:rPr>
            </w:pPr>
            <w:r w:rsidRPr="005F554C">
              <w:rPr>
                <w:i/>
                <w:sz w:val="16"/>
                <w:szCs w:val="16"/>
              </w:rPr>
              <w:t>and clear specification of exposures / outcomes / covariates for each model)</w:t>
            </w:r>
          </w:p>
        </w:tc>
      </w:tr>
      <w:tr w:rsidR="00B34613" w:rsidRPr="002F6DB4" w14:paraId="1C0D0CA7" w14:textId="77777777" w:rsidTr="00640E23">
        <w:trPr>
          <w:cantSplit/>
          <w:trHeight w:val="384"/>
        </w:trPr>
        <w:tc>
          <w:tcPr>
            <w:tcW w:w="5000" w:type="pct"/>
            <w:gridSpan w:val="3"/>
            <w:tcBorders>
              <w:top w:val="single" w:sz="4" w:space="0" w:color="999999"/>
              <w:bottom w:val="single" w:sz="4" w:space="0" w:color="999999"/>
            </w:tcBorders>
            <w:noWrap/>
            <w:tcMar>
              <w:top w:w="15" w:type="dxa"/>
              <w:left w:w="15" w:type="dxa"/>
              <w:bottom w:w="0" w:type="dxa"/>
              <w:right w:w="15" w:type="dxa"/>
            </w:tcMar>
          </w:tcPr>
          <w:p w14:paraId="77E15F2C" w14:textId="77777777" w:rsidR="00B34613" w:rsidRDefault="00B34613" w:rsidP="002619EF">
            <w:pPr>
              <w:pStyle w:val="ListBullet2"/>
              <w:numPr>
                <w:ilvl w:val="0"/>
                <w:numId w:val="0"/>
              </w:numPr>
            </w:pPr>
            <w:r>
              <w:rPr>
                <w:b/>
              </w:rPr>
              <w:t>Descriptive Tables (insert or append dummy tables), e.g.:</w:t>
            </w:r>
          </w:p>
        </w:tc>
      </w:tr>
      <w:tr w:rsidR="00B34613" w:rsidRPr="002F6DB4" w14:paraId="4860EB81" w14:textId="77777777" w:rsidTr="00D62BCC">
        <w:trPr>
          <w:cantSplit/>
        </w:trPr>
        <w:tc>
          <w:tcPr>
            <w:tcW w:w="5000" w:type="pct"/>
            <w:gridSpan w:val="3"/>
            <w:tcBorders>
              <w:top w:val="single" w:sz="4" w:space="0" w:color="999999"/>
              <w:bottom w:val="single" w:sz="4" w:space="0" w:color="999999"/>
            </w:tcBorders>
            <w:noWrap/>
            <w:tcMar>
              <w:top w:w="15" w:type="dxa"/>
              <w:left w:w="15" w:type="dxa"/>
              <w:bottom w:w="0" w:type="dxa"/>
              <w:right w:w="15" w:type="dxa"/>
            </w:tcMar>
          </w:tcPr>
          <w:p w14:paraId="52D3C791" w14:textId="2C310F53" w:rsidR="008D0D0D" w:rsidRDefault="008D0D0D" w:rsidP="002619EF">
            <w:pPr>
              <w:pStyle w:val="ListBullet2"/>
              <w:numPr>
                <w:ilvl w:val="0"/>
                <w:numId w:val="0"/>
              </w:numPr>
              <w:rPr>
                <w:b/>
              </w:rPr>
            </w:pPr>
            <w:r>
              <w:rPr>
                <w:b/>
              </w:rPr>
              <w:t>For Objective 2</w:t>
            </w:r>
            <w:r w:rsidR="00640E23">
              <w:rPr>
                <w:b/>
              </w:rPr>
              <w:t>:</w:t>
            </w:r>
          </w:p>
          <w:p w14:paraId="7C7A7C83" w14:textId="77777777" w:rsidR="00B34613" w:rsidRPr="00D62BCC" w:rsidRDefault="00B34613" w:rsidP="002619EF">
            <w:pPr>
              <w:pStyle w:val="ListBullet2"/>
              <w:numPr>
                <w:ilvl w:val="0"/>
                <w:numId w:val="0"/>
              </w:numPr>
              <w:rPr>
                <w:bCs/>
              </w:rPr>
            </w:pPr>
            <w:r w:rsidRPr="00D62BCC">
              <w:rPr>
                <w:bCs/>
              </w:rPr>
              <w:t xml:space="preserve">Table </w:t>
            </w:r>
            <w:r w:rsidR="008D0D0D" w:rsidRPr="00D62BCC">
              <w:rPr>
                <w:bCs/>
              </w:rPr>
              <w:t>1</w:t>
            </w:r>
            <w:r w:rsidRPr="00D62BCC">
              <w:rPr>
                <w:bCs/>
              </w:rPr>
              <w:t xml:space="preserve">. </w:t>
            </w:r>
            <w:r w:rsidR="008D0D0D" w:rsidRPr="00D62BCC">
              <w:rPr>
                <w:bCs/>
              </w:rPr>
              <w:t xml:space="preserve">Resource use for chronic </w:t>
            </w:r>
            <w:proofErr w:type="spellStart"/>
            <w:r w:rsidR="008D0D0D" w:rsidRPr="00D62BCC">
              <w:rPr>
                <w:bCs/>
              </w:rPr>
              <w:t>hypoPT</w:t>
            </w:r>
            <w:proofErr w:type="spellEnd"/>
            <w:r w:rsidR="008D0D0D" w:rsidRPr="00D62BCC">
              <w:rPr>
                <w:bCs/>
              </w:rPr>
              <w:t xml:space="preserve"> patients and their matches post their index date</w:t>
            </w:r>
          </w:p>
          <w:p w14:paraId="78C33799" w14:textId="1F2D344A" w:rsidR="008D0D0D" w:rsidRPr="00D62BCC" w:rsidRDefault="00D62BCC" w:rsidP="002619EF">
            <w:pPr>
              <w:pStyle w:val="ListBullet2"/>
              <w:numPr>
                <w:ilvl w:val="0"/>
                <w:numId w:val="0"/>
              </w:numPr>
              <w:rPr>
                <w:bCs/>
              </w:rPr>
            </w:pPr>
            <w:r w:rsidRPr="00D62BCC">
              <w:rPr>
                <w:bCs/>
              </w:rPr>
              <w:t xml:space="preserve">Table 2. Resource use for Poorly controlled </w:t>
            </w:r>
            <w:proofErr w:type="spellStart"/>
            <w:r w:rsidRPr="00D62BCC">
              <w:rPr>
                <w:bCs/>
              </w:rPr>
              <w:t>hypoPT</w:t>
            </w:r>
            <w:proofErr w:type="spellEnd"/>
            <w:r w:rsidRPr="00D62BCC">
              <w:rPr>
                <w:bCs/>
              </w:rPr>
              <w:t xml:space="preserve"> patients and their matches post their index date</w:t>
            </w:r>
          </w:p>
          <w:p w14:paraId="4AF6ED22" w14:textId="035641F6" w:rsidR="00D62BCC" w:rsidRPr="00D62BCC" w:rsidRDefault="00D62BCC" w:rsidP="002619EF">
            <w:pPr>
              <w:pStyle w:val="ListBullet2"/>
              <w:numPr>
                <w:ilvl w:val="0"/>
                <w:numId w:val="0"/>
              </w:numPr>
              <w:rPr>
                <w:bCs/>
              </w:rPr>
            </w:pPr>
            <w:r w:rsidRPr="00D62BCC">
              <w:rPr>
                <w:bCs/>
              </w:rPr>
              <w:t xml:space="preserve">Table 3. Negative binomial regression results predicting total HCRU (i.e. over 5 years) among chronic </w:t>
            </w:r>
            <w:proofErr w:type="spellStart"/>
            <w:r w:rsidRPr="00D62BCC">
              <w:rPr>
                <w:bCs/>
              </w:rPr>
              <w:t>hypoPT</w:t>
            </w:r>
            <w:proofErr w:type="spellEnd"/>
            <w:r w:rsidRPr="00D62BCC">
              <w:rPr>
                <w:bCs/>
              </w:rPr>
              <w:t xml:space="preserve"> patients in Ontario</w:t>
            </w:r>
          </w:p>
          <w:p w14:paraId="0926B31C" w14:textId="414BE207" w:rsidR="00D62BCC" w:rsidRDefault="00D62BCC" w:rsidP="002619EF">
            <w:pPr>
              <w:pStyle w:val="ListBullet2"/>
              <w:numPr>
                <w:ilvl w:val="0"/>
                <w:numId w:val="0"/>
              </w:numPr>
              <w:rPr>
                <w:bCs/>
              </w:rPr>
            </w:pPr>
            <w:r w:rsidRPr="00D62BCC">
              <w:rPr>
                <w:bCs/>
              </w:rPr>
              <w:t xml:space="preserve">Table 4. Negative binomial regression results predicting total HCRU (i.e. over 3 years) among poorly controlled </w:t>
            </w:r>
            <w:proofErr w:type="spellStart"/>
            <w:r w:rsidRPr="00D62BCC">
              <w:rPr>
                <w:bCs/>
              </w:rPr>
              <w:t>hypoPT</w:t>
            </w:r>
            <w:proofErr w:type="spellEnd"/>
            <w:r w:rsidRPr="00D62BCC">
              <w:rPr>
                <w:bCs/>
              </w:rPr>
              <w:t xml:space="preserve"> patients in Ontario</w:t>
            </w:r>
          </w:p>
          <w:p w14:paraId="3282DA7A" w14:textId="77777777" w:rsidR="00D86FBF" w:rsidRPr="00D62BCC" w:rsidRDefault="00D86FBF" w:rsidP="002619EF">
            <w:pPr>
              <w:pStyle w:val="ListBullet2"/>
              <w:numPr>
                <w:ilvl w:val="0"/>
                <w:numId w:val="0"/>
              </w:numPr>
              <w:rPr>
                <w:bCs/>
              </w:rPr>
            </w:pPr>
          </w:p>
          <w:p w14:paraId="258EEB78" w14:textId="0BE07DE4" w:rsidR="00640E23" w:rsidRDefault="00D86FBF" w:rsidP="00640E23">
            <w:pPr>
              <w:pStyle w:val="ListBullet2"/>
              <w:numPr>
                <w:ilvl w:val="0"/>
                <w:numId w:val="0"/>
              </w:numPr>
              <w:tabs>
                <w:tab w:val="left" w:pos="6828"/>
              </w:tabs>
              <w:rPr>
                <w:b/>
              </w:rPr>
            </w:pPr>
            <w:r>
              <w:rPr>
                <w:b/>
              </w:rPr>
              <w:object w:dxaOrig="1508" w:dyaOrig="984" w14:anchorId="3E4A4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4pt" o:ole="">
                  <v:imagedata r:id="rId11" o:title=""/>
                </v:shape>
                <o:OLEObject Type="Embed" ProgID="Excel.Sheet.12" ShapeID="_x0000_i1025" DrawAspect="Icon" ObjectID="_1693828411" r:id="rId12"/>
              </w:object>
            </w:r>
          </w:p>
          <w:p w14:paraId="36ADE618" w14:textId="2283638D" w:rsidR="00640E23" w:rsidRPr="008E15B4" w:rsidRDefault="00640E23" w:rsidP="00640E23">
            <w:pPr>
              <w:pStyle w:val="ListBullet2"/>
              <w:numPr>
                <w:ilvl w:val="0"/>
                <w:numId w:val="0"/>
              </w:numPr>
              <w:tabs>
                <w:tab w:val="left" w:pos="6828"/>
              </w:tabs>
              <w:rPr>
                <w:b/>
              </w:rPr>
            </w:pPr>
          </w:p>
        </w:tc>
      </w:tr>
      <w:tr w:rsidR="00B34613" w:rsidRPr="002F6DB4" w14:paraId="71CE54DF" w14:textId="77777777" w:rsidTr="00D62BCC">
        <w:trPr>
          <w:cantSplit/>
        </w:trPr>
        <w:tc>
          <w:tcPr>
            <w:tcW w:w="5000" w:type="pct"/>
            <w:gridSpan w:val="3"/>
            <w:tcBorders>
              <w:top w:val="single" w:sz="4" w:space="0" w:color="999999"/>
              <w:bottom w:val="single" w:sz="4" w:space="0" w:color="999999"/>
            </w:tcBorders>
            <w:noWrap/>
            <w:tcMar>
              <w:top w:w="15" w:type="dxa"/>
              <w:left w:w="15" w:type="dxa"/>
              <w:bottom w:w="0" w:type="dxa"/>
              <w:right w:w="15" w:type="dxa"/>
            </w:tcMar>
          </w:tcPr>
          <w:p w14:paraId="71615478" w14:textId="49A8C5C3" w:rsidR="00D62BCC" w:rsidRDefault="00D62BCC" w:rsidP="002619EF">
            <w:pPr>
              <w:pStyle w:val="ListBullet2"/>
              <w:numPr>
                <w:ilvl w:val="0"/>
                <w:numId w:val="0"/>
              </w:numPr>
              <w:rPr>
                <w:b/>
              </w:rPr>
            </w:pPr>
            <w:r>
              <w:rPr>
                <w:b/>
              </w:rPr>
              <w:t xml:space="preserve">For Objective </w:t>
            </w:r>
            <w:r w:rsidR="00B34613">
              <w:rPr>
                <w:b/>
              </w:rPr>
              <w:t>3</w:t>
            </w:r>
            <w:r w:rsidR="00640E23">
              <w:rPr>
                <w:b/>
              </w:rPr>
              <w:t>:</w:t>
            </w:r>
          </w:p>
          <w:p w14:paraId="16F036F8" w14:textId="1B1259BB" w:rsidR="00D62BCC" w:rsidRPr="00D62BCC" w:rsidRDefault="00D62BCC" w:rsidP="002619EF">
            <w:pPr>
              <w:pStyle w:val="ListBullet2"/>
              <w:numPr>
                <w:ilvl w:val="0"/>
                <w:numId w:val="0"/>
              </w:numPr>
              <w:rPr>
                <w:bCs/>
              </w:rPr>
            </w:pPr>
            <w:r w:rsidRPr="00D62BCC">
              <w:rPr>
                <w:bCs/>
              </w:rPr>
              <w:t xml:space="preserve">Table 5a. Costs associated with healthcare resources for chronic </w:t>
            </w:r>
            <w:proofErr w:type="spellStart"/>
            <w:r w:rsidRPr="00D62BCC">
              <w:rPr>
                <w:bCs/>
              </w:rPr>
              <w:t>hypoPT</w:t>
            </w:r>
            <w:proofErr w:type="spellEnd"/>
            <w:r w:rsidRPr="00D62BCC">
              <w:rPr>
                <w:bCs/>
              </w:rPr>
              <w:t xml:space="preserve"> patients and their matches post their index date</w:t>
            </w:r>
          </w:p>
          <w:p w14:paraId="35E2DB22" w14:textId="17F094D7" w:rsidR="00D62BCC" w:rsidRPr="00D62BCC" w:rsidRDefault="00D62BCC" w:rsidP="002619EF">
            <w:pPr>
              <w:pStyle w:val="ListBullet2"/>
              <w:numPr>
                <w:ilvl w:val="0"/>
                <w:numId w:val="0"/>
              </w:numPr>
              <w:rPr>
                <w:bCs/>
              </w:rPr>
            </w:pPr>
            <w:r w:rsidRPr="00D62BCC">
              <w:rPr>
                <w:bCs/>
              </w:rPr>
              <w:t xml:space="preserve">Table 5b. Gamma estimates for costs associated with healthcare resources for chronic </w:t>
            </w:r>
            <w:proofErr w:type="spellStart"/>
            <w:r w:rsidRPr="00D62BCC">
              <w:rPr>
                <w:bCs/>
              </w:rPr>
              <w:t>hypoPT</w:t>
            </w:r>
            <w:proofErr w:type="spellEnd"/>
            <w:r w:rsidRPr="00D62BCC">
              <w:rPr>
                <w:bCs/>
              </w:rPr>
              <w:t xml:space="preserve"> </w:t>
            </w:r>
            <w:proofErr w:type="gramStart"/>
            <w:r w:rsidRPr="00D62BCC">
              <w:rPr>
                <w:bCs/>
              </w:rPr>
              <w:t>patients</w:t>
            </w:r>
            <w:proofErr w:type="gramEnd"/>
            <w:r w:rsidRPr="00D62BCC">
              <w:rPr>
                <w:bCs/>
              </w:rPr>
              <w:t xml:space="preserve"> vs their matches post their index date</w:t>
            </w:r>
          </w:p>
          <w:p w14:paraId="038AC2C4" w14:textId="2A0918D3" w:rsidR="00D62BCC" w:rsidRPr="00D62BCC" w:rsidRDefault="00D62BCC" w:rsidP="002619EF">
            <w:pPr>
              <w:pStyle w:val="ListBullet2"/>
              <w:numPr>
                <w:ilvl w:val="0"/>
                <w:numId w:val="0"/>
              </w:numPr>
              <w:rPr>
                <w:bCs/>
              </w:rPr>
            </w:pPr>
            <w:r w:rsidRPr="00D62BCC">
              <w:rPr>
                <w:bCs/>
              </w:rPr>
              <w:t xml:space="preserve">Table 6a. Costs associated with healthcare resources for poorly controlled </w:t>
            </w:r>
            <w:proofErr w:type="spellStart"/>
            <w:r w:rsidRPr="00D62BCC">
              <w:rPr>
                <w:bCs/>
              </w:rPr>
              <w:t>hypoPT</w:t>
            </w:r>
            <w:proofErr w:type="spellEnd"/>
            <w:r w:rsidRPr="00D62BCC">
              <w:rPr>
                <w:bCs/>
              </w:rPr>
              <w:t xml:space="preserve"> patients and their matches post their index date</w:t>
            </w:r>
          </w:p>
          <w:p w14:paraId="7E813FE2" w14:textId="5CAB9612" w:rsidR="00D62BCC" w:rsidRPr="00D62BCC" w:rsidRDefault="00D62BCC" w:rsidP="002619EF">
            <w:pPr>
              <w:pStyle w:val="ListBullet2"/>
              <w:numPr>
                <w:ilvl w:val="0"/>
                <w:numId w:val="0"/>
              </w:numPr>
              <w:rPr>
                <w:bCs/>
              </w:rPr>
            </w:pPr>
            <w:r w:rsidRPr="00D62BCC">
              <w:rPr>
                <w:bCs/>
              </w:rPr>
              <w:t xml:space="preserve">Table 6b. Gamma estimates for costs associated with healthcare resources for poorly controlled </w:t>
            </w:r>
            <w:proofErr w:type="spellStart"/>
            <w:r w:rsidRPr="00D62BCC">
              <w:rPr>
                <w:bCs/>
              </w:rPr>
              <w:t>hypoPT</w:t>
            </w:r>
            <w:proofErr w:type="spellEnd"/>
            <w:r w:rsidRPr="00D62BCC">
              <w:rPr>
                <w:bCs/>
              </w:rPr>
              <w:t xml:space="preserve"> </w:t>
            </w:r>
            <w:proofErr w:type="gramStart"/>
            <w:r w:rsidRPr="00D62BCC">
              <w:rPr>
                <w:bCs/>
              </w:rPr>
              <w:t>patients</w:t>
            </w:r>
            <w:proofErr w:type="gramEnd"/>
            <w:r w:rsidRPr="00D62BCC">
              <w:rPr>
                <w:bCs/>
              </w:rPr>
              <w:t xml:space="preserve"> vs their matches post their index date</w:t>
            </w:r>
          </w:p>
          <w:p w14:paraId="3DA90CDA" w14:textId="3A0A31D7" w:rsidR="00D62BCC" w:rsidRPr="00D62BCC" w:rsidRDefault="00D62BCC" w:rsidP="002619EF">
            <w:pPr>
              <w:pStyle w:val="ListBullet2"/>
              <w:numPr>
                <w:ilvl w:val="0"/>
                <w:numId w:val="0"/>
              </w:numPr>
              <w:rPr>
                <w:bCs/>
              </w:rPr>
            </w:pPr>
            <w:r w:rsidRPr="00D62BCC">
              <w:rPr>
                <w:bCs/>
              </w:rPr>
              <w:t xml:space="preserve">Table 3. Gamma regression results predicting total cost (i.e. over 5 years) among chronic </w:t>
            </w:r>
            <w:proofErr w:type="spellStart"/>
            <w:r w:rsidRPr="00D62BCC">
              <w:rPr>
                <w:bCs/>
              </w:rPr>
              <w:t>hypoPT</w:t>
            </w:r>
            <w:proofErr w:type="spellEnd"/>
            <w:r w:rsidRPr="00D62BCC">
              <w:rPr>
                <w:bCs/>
              </w:rPr>
              <w:t xml:space="preserve"> patients in Ontario</w:t>
            </w:r>
          </w:p>
          <w:p w14:paraId="1A966CB8" w14:textId="74DDF98A" w:rsidR="00D62BCC" w:rsidRDefault="00D62BCC" w:rsidP="002619EF">
            <w:pPr>
              <w:pStyle w:val="ListBullet2"/>
              <w:numPr>
                <w:ilvl w:val="0"/>
                <w:numId w:val="0"/>
              </w:numPr>
              <w:rPr>
                <w:bCs/>
              </w:rPr>
            </w:pPr>
            <w:r w:rsidRPr="00D62BCC">
              <w:rPr>
                <w:bCs/>
              </w:rPr>
              <w:t xml:space="preserve">Table 4. Gamma regression results predicting total cost (i.e. over 3 years) among poorly controlled </w:t>
            </w:r>
            <w:proofErr w:type="spellStart"/>
            <w:r w:rsidRPr="00D62BCC">
              <w:rPr>
                <w:bCs/>
              </w:rPr>
              <w:t>hypoPT</w:t>
            </w:r>
            <w:proofErr w:type="spellEnd"/>
            <w:r w:rsidRPr="00D62BCC">
              <w:rPr>
                <w:bCs/>
              </w:rPr>
              <w:t xml:space="preserve"> patients in Ontario</w:t>
            </w:r>
          </w:p>
          <w:p w14:paraId="02BB1B66" w14:textId="77777777" w:rsidR="00640E23" w:rsidRPr="00D62BCC" w:rsidRDefault="00640E23" w:rsidP="002619EF">
            <w:pPr>
              <w:pStyle w:val="ListBullet2"/>
              <w:numPr>
                <w:ilvl w:val="0"/>
                <w:numId w:val="0"/>
              </w:numPr>
              <w:rPr>
                <w:bCs/>
              </w:rPr>
            </w:pPr>
          </w:p>
          <w:p w14:paraId="23093C19" w14:textId="64AA86FE" w:rsidR="00B34613" w:rsidRDefault="00B34613" w:rsidP="002619EF">
            <w:pPr>
              <w:pStyle w:val="ListBullet2"/>
              <w:numPr>
                <w:ilvl w:val="0"/>
                <w:numId w:val="0"/>
              </w:numPr>
              <w:rPr>
                <w:b/>
              </w:rPr>
            </w:pPr>
            <w:r>
              <w:rPr>
                <w:b/>
              </w:rPr>
              <w:t xml:space="preserve"> </w:t>
            </w:r>
            <w:r w:rsidR="00640E23">
              <w:rPr>
                <w:b/>
              </w:rPr>
              <w:object w:dxaOrig="1508" w:dyaOrig="984" w14:anchorId="7D099D21">
                <v:shape id="_x0000_i1026" type="#_x0000_t75" style="width:1in;height:50.4pt" o:ole="">
                  <v:imagedata r:id="rId13" o:title=""/>
                </v:shape>
                <o:OLEObject Type="Embed" ProgID="Excel.Sheet.12" ShapeID="_x0000_i1026" DrawAspect="Icon" ObjectID="_1693828412" r:id="rId14"/>
              </w:object>
            </w:r>
          </w:p>
          <w:p w14:paraId="493783F6" w14:textId="6AB7AA32" w:rsidR="00640E23" w:rsidRPr="00D41FA9" w:rsidRDefault="00640E23" w:rsidP="002619EF">
            <w:pPr>
              <w:pStyle w:val="ListBullet2"/>
              <w:numPr>
                <w:ilvl w:val="0"/>
                <w:numId w:val="0"/>
              </w:numPr>
            </w:pPr>
          </w:p>
        </w:tc>
      </w:tr>
      <w:tr w:rsidR="00B34613" w:rsidRPr="002F6DB4" w14:paraId="3992E5D5" w14:textId="77777777" w:rsidTr="00D62BCC">
        <w:trPr>
          <w:cantSplit/>
        </w:trPr>
        <w:tc>
          <w:tcPr>
            <w:tcW w:w="5000" w:type="pct"/>
            <w:gridSpan w:val="3"/>
            <w:tcBorders>
              <w:top w:val="single" w:sz="4" w:space="0" w:color="999999"/>
              <w:bottom w:val="single" w:sz="4" w:space="0" w:color="999999"/>
            </w:tcBorders>
            <w:noWrap/>
            <w:tcMar>
              <w:top w:w="15" w:type="dxa"/>
              <w:left w:w="15" w:type="dxa"/>
              <w:bottom w:w="0" w:type="dxa"/>
              <w:right w:w="15" w:type="dxa"/>
            </w:tcMar>
          </w:tcPr>
          <w:p w14:paraId="139AED6B" w14:textId="2573FB66" w:rsidR="005569E8" w:rsidRPr="005569E8" w:rsidRDefault="00B34613" w:rsidP="002619EF">
            <w:pPr>
              <w:pStyle w:val="ListBullet2"/>
              <w:numPr>
                <w:ilvl w:val="0"/>
                <w:numId w:val="0"/>
              </w:numPr>
              <w:rPr>
                <w:b/>
              </w:rPr>
            </w:pPr>
            <w:r>
              <w:rPr>
                <w:b/>
              </w:rPr>
              <w:t>Statistical Model(s</w:t>
            </w:r>
            <w:r w:rsidR="005569E8">
              <w:rPr>
                <w:b/>
              </w:rPr>
              <w:t>)</w:t>
            </w:r>
          </w:p>
        </w:tc>
      </w:tr>
      <w:tr w:rsidR="00B34613" w:rsidRPr="002F6DB4" w14:paraId="06A8DAF3" w14:textId="77777777" w:rsidTr="00640E23">
        <w:trPr>
          <w:cantSplit/>
        </w:trPr>
        <w:tc>
          <w:tcPr>
            <w:tcW w:w="1655" w:type="pct"/>
            <w:tcBorders>
              <w:top w:val="single" w:sz="4" w:space="0" w:color="999999"/>
              <w:bottom w:val="single" w:sz="4" w:space="0" w:color="999999"/>
              <w:right w:val="single" w:sz="4" w:space="0" w:color="999999"/>
            </w:tcBorders>
            <w:noWrap/>
            <w:tcMar>
              <w:top w:w="15" w:type="dxa"/>
              <w:left w:w="15" w:type="dxa"/>
              <w:bottom w:w="0" w:type="dxa"/>
              <w:right w:w="15" w:type="dxa"/>
            </w:tcMar>
          </w:tcPr>
          <w:p w14:paraId="5387EC8D" w14:textId="77777777" w:rsidR="00B34613" w:rsidRDefault="00B34613" w:rsidP="002619EF">
            <w:pPr>
              <w:pStyle w:val="ListBullet2"/>
              <w:numPr>
                <w:ilvl w:val="0"/>
                <w:numId w:val="0"/>
              </w:numPr>
            </w:pPr>
            <w:r>
              <w:rPr>
                <w:b/>
              </w:rPr>
              <w:lastRenderedPageBreak/>
              <w:tab/>
              <w:t>Type of model</w:t>
            </w:r>
          </w:p>
        </w:tc>
        <w:tc>
          <w:tcPr>
            <w:tcW w:w="3345" w:type="pct"/>
            <w:gridSpan w:val="2"/>
            <w:tcBorders>
              <w:top w:val="single" w:sz="4" w:space="0" w:color="999999"/>
              <w:left w:val="single" w:sz="4" w:space="0" w:color="999999"/>
              <w:bottom w:val="single" w:sz="4" w:space="0" w:color="999999"/>
            </w:tcBorders>
          </w:tcPr>
          <w:p w14:paraId="6F0E7ECF" w14:textId="77777777" w:rsidR="00B34613" w:rsidRPr="00D55C4A" w:rsidRDefault="005569E8" w:rsidP="005569E8">
            <w:pPr>
              <w:pStyle w:val="ListBullet2"/>
              <w:numPr>
                <w:ilvl w:val="0"/>
                <w:numId w:val="0"/>
              </w:numPr>
              <w:rPr>
                <w:b/>
                <w:bCs/>
                <w:lang w:val="en-GB"/>
              </w:rPr>
            </w:pPr>
            <w:r w:rsidRPr="00D55C4A">
              <w:rPr>
                <w:b/>
                <w:bCs/>
                <w:lang w:val="en-GB"/>
              </w:rPr>
              <w:t>For Objective 1: Descriptive analyses</w:t>
            </w:r>
          </w:p>
          <w:p w14:paraId="68115940" w14:textId="77420DDF" w:rsidR="005569E8" w:rsidRDefault="00222D07" w:rsidP="00222D07">
            <w:pPr>
              <w:pStyle w:val="ListBullet2"/>
              <w:numPr>
                <w:ilvl w:val="0"/>
                <w:numId w:val="0"/>
              </w:numPr>
              <w:rPr>
                <w:lang w:val="en-GB"/>
              </w:rPr>
            </w:pPr>
            <w:r>
              <w:rPr>
                <w:lang w:val="en-GB"/>
              </w:rPr>
              <w:t xml:space="preserve">The </w:t>
            </w:r>
            <w:r w:rsidR="005569E8" w:rsidRPr="00D55C4A">
              <w:rPr>
                <w:lang w:val="en-GB"/>
              </w:rPr>
              <w:t>baseline characteristics</w:t>
            </w:r>
            <w:r>
              <w:rPr>
                <w:lang w:val="en-GB"/>
              </w:rPr>
              <w:t xml:space="preserve"> of the following cohorts will be calculated:</w:t>
            </w:r>
          </w:p>
          <w:p w14:paraId="77FE6716" w14:textId="77777777" w:rsidR="00222D07" w:rsidRPr="0066395A" w:rsidRDefault="00222D07" w:rsidP="009E5DB6">
            <w:pPr>
              <w:pStyle w:val="BodyText"/>
              <w:numPr>
                <w:ilvl w:val="0"/>
                <w:numId w:val="27"/>
              </w:numPr>
              <w:rPr>
                <w:lang w:eastAsia="en-GB"/>
              </w:rPr>
            </w:pPr>
            <w:r w:rsidRPr="005C3109">
              <w:rPr>
                <w:lang w:val="en-GB" w:eastAsia="en-GB"/>
              </w:rPr>
              <w:t xml:space="preserve">paediatric </w:t>
            </w:r>
            <w:r>
              <w:rPr>
                <w:lang w:val="en-GB" w:eastAsia="en-GB"/>
              </w:rPr>
              <w:t xml:space="preserve">incident </w:t>
            </w:r>
            <w:r w:rsidRPr="005C3109">
              <w:rPr>
                <w:lang w:val="en-GB" w:eastAsia="en-GB"/>
              </w:rPr>
              <w:t xml:space="preserve">chronic </w:t>
            </w:r>
            <w:r>
              <w:rPr>
                <w:lang w:eastAsia="en-GB"/>
              </w:rPr>
              <w:t>h</w:t>
            </w:r>
            <w:r w:rsidRPr="00C329C4">
              <w:rPr>
                <w:lang w:eastAsia="en-GB"/>
              </w:rPr>
              <w:t>ypoparathyroidism</w:t>
            </w:r>
            <w:r w:rsidRPr="005C3109">
              <w:rPr>
                <w:lang w:val="en-GB" w:eastAsia="en-GB"/>
              </w:rPr>
              <w:t xml:space="preserve"> </w:t>
            </w:r>
            <w:proofErr w:type="gramStart"/>
            <w:r w:rsidRPr="005C3109">
              <w:rPr>
                <w:lang w:val="en-GB" w:eastAsia="en-GB"/>
              </w:rPr>
              <w:t>patients</w:t>
            </w:r>
            <w:r>
              <w:rPr>
                <w:lang w:val="en-GB" w:eastAsia="en-GB"/>
              </w:rPr>
              <w:t>;</w:t>
            </w:r>
            <w:proofErr w:type="gramEnd"/>
          </w:p>
          <w:p w14:paraId="75C5B5C5" w14:textId="77777777" w:rsidR="00222D07" w:rsidRDefault="00222D07" w:rsidP="009E5DB6">
            <w:pPr>
              <w:pStyle w:val="BodyText"/>
              <w:numPr>
                <w:ilvl w:val="0"/>
                <w:numId w:val="27"/>
              </w:numPr>
              <w:rPr>
                <w:lang w:eastAsia="en-GB"/>
              </w:rPr>
            </w:pPr>
            <w:r w:rsidRPr="005C3109">
              <w:rPr>
                <w:lang w:val="en-GB" w:eastAsia="en-GB"/>
              </w:rPr>
              <w:t xml:space="preserve">adult </w:t>
            </w:r>
            <w:r>
              <w:rPr>
                <w:lang w:val="en-GB" w:eastAsia="en-GB"/>
              </w:rPr>
              <w:t xml:space="preserve">incident </w:t>
            </w:r>
            <w:r w:rsidRPr="005C3109">
              <w:rPr>
                <w:lang w:val="en-GB" w:eastAsia="en-GB"/>
              </w:rPr>
              <w:t xml:space="preserve">chronic </w:t>
            </w:r>
            <w:r>
              <w:rPr>
                <w:lang w:eastAsia="en-GB"/>
              </w:rPr>
              <w:t>h</w:t>
            </w:r>
            <w:r w:rsidRPr="00C329C4">
              <w:rPr>
                <w:lang w:eastAsia="en-GB"/>
              </w:rPr>
              <w:t>ypoparathyroidism</w:t>
            </w:r>
            <w:r>
              <w:rPr>
                <w:lang w:eastAsia="en-GB"/>
              </w:rPr>
              <w:t xml:space="preserve"> patients and their matched </w:t>
            </w:r>
            <w:proofErr w:type="gramStart"/>
            <w:r>
              <w:rPr>
                <w:lang w:eastAsia="en-GB"/>
              </w:rPr>
              <w:t>controls;</w:t>
            </w:r>
            <w:proofErr w:type="gramEnd"/>
          </w:p>
          <w:p w14:paraId="3CDB2D4B" w14:textId="77777777" w:rsidR="00222D07" w:rsidRDefault="00222D07" w:rsidP="009E5DB6">
            <w:pPr>
              <w:pStyle w:val="BodyText"/>
              <w:numPr>
                <w:ilvl w:val="0"/>
                <w:numId w:val="27"/>
              </w:numPr>
              <w:rPr>
                <w:lang w:eastAsia="en-GB"/>
              </w:rPr>
            </w:pPr>
            <w:r w:rsidRPr="005C3109">
              <w:rPr>
                <w:lang w:val="en-GB" w:eastAsia="en-GB"/>
              </w:rPr>
              <w:t xml:space="preserve">adult </w:t>
            </w:r>
            <w:r>
              <w:rPr>
                <w:lang w:val="en-GB" w:eastAsia="en-GB"/>
              </w:rPr>
              <w:t xml:space="preserve">prevalent </w:t>
            </w:r>
            <w:r w:rsidRPr="005C3109">
              <w:rPr>
                <w:lang w:val="en-GB" w:eastAsia="en-GB"/>
              </w:rPr>
              <w:t xml:space="preserve">chronic </w:t>
            </w:r>
            <w:r>
              <w:rPr>
                <w:lang w:eastAsia="en-GB"/>
              </w:rPr>
              <w:t>h</w:t>
            </w:r>
            <w:r w:rsidRPr="00C329C4">
              <w:rPr>
                <w:lang w:eastAsia="en-GB"/>
              </w:rPr>
              <w:t>ypoparathyroidism</w:t>
            </w:r>
            <w:r>
              <w:rPr>
                <w:lang w:eastAsia="en-GB"/>
              </w:rPr>
              <w:t xml:space="preserve"> </w:t>
            </w:r>
            <w:proofErr w:type="gramStart"/>
            <w:r>
              <w:rPr>
                <w:lang w:eastAsia="en-GB"/>
              </w:rPr>
              <w:t>patients;</w:t>
            </w:r>
            <w:proofErr w:type="gramEnd"/>
          </w:p>
          <w:p w14:paraId="3F657149" w14:textId="77777777" w:rsidR="00222D07" w:rsidRDefault="00222D07" w:rsidP="009E5DB6">
            <w:pPr>
              <w:pStyle w:val="BodyText"/>
              <w:numPr>
                <w:ilvl w:val="0"/>
                <w:numId w:val="27"/>
              </w:numPr>
              <w:rPr>
                <w:lang w:eastAsia="en-GB"/>
              </w:rPr>
            </w:pPr>
            <w:r w:rsidRPr="005C3109">
              <w:rPr>
                <w:lang w:val="en-GB" w:eastAsia="en-GB"/>
              </w:rPr>
              <w:t xml:space="preserve">paediatric </w:t>
            </w:r>
            <w:r>
              <w:rPr>
                <w:lang w:val="en-GB" w:eastAsia="en-GB"/>
              </w:rPr>
              <w:t xml:space="preserve">incident </w:t>
            </w:r>
            <w:r w:rsidRPr="005C3109">
              <w:rPr>
                <w:lang w:val="en-GB" w:eastAsia="en-GB"/>
              </w:rPr>
              <w:t>poorly</w:t>
            </w:r>
            <w:r>
              <w:rPr>
                <w:lang w:val="en-GB" w:eastAsia="en-GB"/>
              </w:rPr>
              <w:t xml:space="preserve"> controlled</w:t>
            </w:r>
            <w:r w:rsidRPr="005C3109">
              <w:rPr>
                <w:lang w:val="en-GB" w:eastAsia="en-GB"/>
              </w:rPr>
              <w:t xml:space="preserve"> </w:t>
            </w:r>
            <w:r>
              <w:rPr>
                <w:lang w:eastAsia="en-GB"/>
              </w:rPr>
              <w:t>h</w:t>
            </w:r>
            <w:r w:rsidRPr="00C329C4">
              <w:rPr>
                <w:lang w:eastAsia="en-GB"/>
              </w:rPr>
              <w:t>ypoparathyroidism</w:t>
            </w:r>
            <w:r w:rsidRPr="005C3109">
              <w:rPr>
                <w:lang w:val="en-GB" w:eastAsia="en-GB"/>
              </w:rPr>
              <w:t xml:space="preserve"> </w:t>
            </w:r>
            <w:proofErr w:type="gramStart"/>
            <w:r w:rsidRPr="005C3109">
              <w:rPr>
                <w:lang w:val="en-GB" w:eastAsia="en-GB"/>
              </w:rPr>
              <w:t>patients</w:t>
            </w:r>
            <w:r>
              <w:rPr>
                <w:lang w:val="en-GB" w:eastAsia="en-GB"/>
              </w:rPr>
              <w:t>;</w:t>
            </w:r>
            <w:proofErr w:type="gramEnd"/>
          </w:p>
          <w:p w14:paraId="31B7CB99" w14:textId="77777777" w:rsidR="00222D07" w:rsidRDefault="00222D07" w:rsidP="009E5DB6">
            <w:pPr>
              <w:pStyle w:val="BodyText"/>
              <w:numPr>
                <w:ilvl w:val="0"/>
                <w:numId w:val="27"/>
              </w:numPr>
              <w:rPr>
                <w:lang w:val="en-GB" w:eastAsia="fr-FR"/>
              </w:rPr>
            </w:pPr>
            <w:r w:rsidRPr="005C3109">
              <w:rPr>
                <w:lang w:val="en-GB" w:eastAsia="en-GB"/>
              </w:rPr>
              <w:t xml:space="preserve">adult </w:t>
            </w:r>
            <w:r>
              <w:rPr>
                <w:lang w:val="en-GB" w:eastAsia="en-GB"/>
              </w:rPr>
              <w:t xml:space="preserve">incident </w:t>
            </w:r>
            <w:r w:rsidRPr="005C3109">
              <w:rPr>
                <w:lang w:val="en-GB" w:eastAsia="en-GB"/>
              </w:rPr>
              <w:t>poorly</w:t>
            </w:r>
            <w:r>
              <w:rPr>
                <w:lang w:val="en-GB" w:eastAsia="en-GB"/>
              </w:rPr>
              <w:t xml:space="preserve"> controlled </w:t>
            </w:r>
            <w:r>
              <w:rPr>
                <w:lang w:eastAsia="en-GB"/>
              </w:rPr>
              <w:t xml:space="preserve">patients and their matched </w:t>
            </w:r>
            <w:proofErr w:type="gramStart"/>
            <w:r>
              <w:rPr>
                <w:lang w:eastAsia="en-GB"/>
              </w:rPr>
              <w:t>controls;</w:t>
            </w:r>
            <w:proofErr w:type="gramEnd"/>
            <w:r w:rsidRPr="008C62A9">
              <w:rPr>
                <w:lang w:val="en-GB" w:eastAsia="en-GB"/>
              </w:rPr>
              <w:t xml:space="preserve"> </w:t>
            </w:r>
          </w:p>
          <w:p w14:paraId="730A6A65" w14:textId="77777777" w:rsidR="00222D07" w:rsidRPr="008C62A9" w:rsidRDefault="00222D07" w:rsidP="009E5DB6">
            <w:pPr>
              <w:pStyle w:val="BodyText"/>
              <w:numPr>
                <w:ilvl w:val="0"/>
                <w:numId w:val="27"/>
              </w:numPr>
              <w:rPr>
                <w:lang w:val="en-GB" w:eastAsia="fr-FR"/>
              </w:rPr>
            </w:pPr>
            <w:r w:rsidRPr="005C3109">
              <w:rPr>
                <w:lang w:val="en-GB" w:eastAsia="en-GB"/>
              </w:rPr>
              <w:t>adult</w:t>
            </w:r>
            <w:r>
              <w:rPr>
                <w:lang w:val="en-GB" w:eastAsia="en-GB"/>
              </w:rPr>
              <w:t xml:space="preserve"> prevalent </w:t>
            </w:r>
            <w:r w:rsidRPr="005C3109">
              <w:rPr>
                <w:lang w:val="en-GB" w:eastAsia="en-GB"/>
              </w:rPr>
              <w:t>poorly</w:t>
            </w:r>
            <w:r>
              <w:rPr>
                <w:lang w:val="en-GB" w:eastAsia="en-GB"/>
              </w:rPr>
              <w:t xml:space="preserve"> controlled </w:t>
            </w:r>
            <w:r>
              <w:rPr>
                <w:lang w:eastAsia="en-GB"/>
              </w:rPr>
              <w:t>patients,</w:t>
            </w:r>
          </w:p>
          <w:p w14:paraId="3C1B2244" w14:textId="77777777" w:rsidR="00222D07" w:rsidRPr="00D55C4A" w:rsidRDefault="00222D07" w:rsidP="005569E8">
            <w:pPr>
              <w:pStyle w:val="ListBullet2"/>
              <w:numPr>
                <w:ilvl w:val="0"/>
                <w:numId w:val="0"/>
              </w:numPr>
              <w:rPr>
                <w:lang w:val="en-GB"/>
              </w:rPr>
            </w:pPr>
          </w:p>
          <w:p w14:paraId="23372FFD" w14:textId="6603C7F0" w:rsidR="005569E8" w:rsidRPr="00D55C4A" w:rsidRDefault="005569E8" w:rsidP="005569E8">
            <w:pPr>
              <w:pStyle w:val="ListBullet2"/>
              <w:numPr>
                <w:ilvl w:val="0"/>
                <w:numId w:val="0"/>
              </w:numPr>
              <w:rPr>
                <w:lang w:val="en-GB"/>
              </w:rPr>
            </w:pPr>
            <w:r w:rsidRPr="00D55C4A">
              <w:rPr>
                <w:lang w:val="en-GB"/>
              </w:rPr>
              <w:t xml:space="preserve">Categorical variables </w:t>
            </w:r>
            <w:r w:rsidRPr="00D55C4A">
              <w:rPr>
                <w:lang w:val="en-GB"/>
              </w:rPr>
              <w:sym w:font="Wingdings" w:char="F0E0"/>
            </w:r>
            <w:r w:rsidRPr="00D55C4A">
              <w:rPr>
                <w:lang w:val="en-GB"/>
              </w:rPr>
              <w:t xml:space="preserve"> Calculate frequency and percentages. </w:t>
            </w:r>
          </w:p>
          <w:p w14:paraId="755211F2" w14:textId="7A42C0A4" w:rsidR="005569E8" w:rsidRPr="00D55C4A" w:rsidRDefault="005569E8" w:rsidP="005569E8">
            <w:pPr>
              <w:pStyle w:val="ListBullet2"/>
              <w:numPr>
                <w:ilvl w:val="0"/>
                <w:numId w:val="0"/>
              </w:numPr>
              <w:rPr>
                <w:lang w:val="en-GB"/>
              </w:rPr>
            </w:pPr>
            <w:r w:rsidRPr="00D55C4A">
              <w:rPr>
                <w:lang w:val="en-GB"/>
              </w:rPr>
              <w:t xml:space="preserve">Continuous variables </w:t>
            </w:r>
            <w:r w:rsidRPr="00D55C4A">
              <w:rPr>
                <w:lang w:val="en-GB"/>
              </w:rPr>
              <w:sym w:font="Wingdings" w:char="F0E0"/>
            </w:r>
            <w:r w:rsidRPr="00D55C4A">
              <w:rPr>
                <w:lang w:val="en-GB"/>
              </w:rPr>
              <w:t xml:space="preserve"> Calculate Mean (±SD) and Median (IQR)</w:t>
            </w:r>
          </w:p>
          <w:p w14:paraId="176D5A4D" w14:textId="521C0066" w:rsidR="00062270" w:rsidRDefault="005569E8" w:rsidP="00062270">
            <w:pPr>
              <w:pStyle w:val="BodyText"/>
              <w:rPr>
                <w:lang w:val="en-GB"/>
              </w:rPr>
            </w:pPr>
            <w:r w:rsidRPr="00D55C4A">
              <w:rPr>
                <w:lang w:val="en-GB"/>
              </w:rPr>
              <w:t xml:space="preserve">For comparing the </w:t>
            </w:r>
            <w:r w:rsidRPr="005C3109">
              <w:rPr>
                <w:lang w:val="en-GB"/>
              </w:rPr>
              <w:t xml:space="preserve">adult </w:t>
            </w:r>
            <w:r>
              <w:rPr>
                <w:lang w:val="en-GB"/>
              </w:rPr>
              <w:t xml:space="preserve">incident </w:t>
            </w:r>
            <w:r w:rsidRPr="005C3109">
              <w:rPr>
                <w:lang w:val="en-GB"/>
              </w:rPr>
              <w:t xml:space="preserve">chronic </w:t>
            </w:r>
            <w:r w:rsidRPr="00D55C4A">
              <w:rPr>
                <w:lang w:val="en-GB"/>
              </w:rPr>
              <w:t xml:space="preserve">hypoparathyroidism patients compared to their matched controls, and </w:t>
            </w:r>
            <w:r w:rsidRPr="005C3109">
              <w:rPr>
                <w:lang w:val="en-GB"/>
              </w:rPr>
              <w:t xml:space="preserve">adult </w:t>
            </w:r>
            <w:r>
              <w:rPr>
                <w:lang w:val="en-GB"/>
              </w:rPr>
              <w:t xml:space="preserve">incident </w:t>
            </w:r>
            <w:r w:rsidRPr="005C3109">
              <w:rPr>
                <w:lang w:val="en-GB"/>
              </w:rPr>
              <w:t>poorly</w:t>
            </w:r>
            <w:r>
              <w:rPr>
                <w:lang w:val="en-GB"/>
              </w:rPr>
              <w:t xml:space="preserve"> controlled </w:t>
            </w:r>
            <w:r w:rsidRPr="00D55C4A">
              <w:rPr>
                <w:lang w:val="en-GB"/>
              </w:rPr>
              <w:t xml:space="preserve">patients compared to their matched controls, </w:t>
            </w:r>
            <w:proofErr w:type="spellStart"/>
            <w:r w:rsidRPr="00D55C4A">
              <w:rPr>
                <w:lang w:val="en-GB"/>
              </w:rPr>
              <w:t>McNemars</w:t>
            </w:r>
            <w:proofErr w:type="spellEnd"/>
            <w:r w:rsidRPr="00D55C4A">
              <w:rPr>
                <w:lang w:val="en-GB"/>
              </w:rPr>
              <w:t xml:space="preserve"> test for categorical variables and paired t-test for continuous variables will be applied.</w:t>
            </w:r>
            <w:r w:rsidR="00062270">
              <w:rPr>
                <w:lang w:val="en-GB"/>
              </w:rPr>
              <w:t xml:space="preserve"> Analyses will be performed on the following variables:</w:t>
            </w:r>
          </w:p>
          <w:p w14:paraId="592DF7C4" w14:textId="77777777" w:rsidR="00062270" w:rsidRPr="00062270" w:rsidRDefault="00062270" w:rsidP="00062270">
            <w:pPr>
              <w:pStyle w:val="BodyText"/>
              <w:numPr>
                <w:ilvl w:val="0"/>
                <w:numId w:val="30"/>
              </w:numPr>
              <w:rPr>
                <w:lang w:val="en-GB"/>
              </w:rPr>
            </w:pPr>
            <w:r w:rsidRPr="00062270">
              <w:rPr>
                <w:lang w:val="en-GB"/>
              </w:rPr>
              <w:t>hypoparathyroidism, n (%)</w:t>
            </w:r>
          </w:p>
          <w:p w14:paraId="5386F218" w14:textId="77777777" w:rsidR="00062270" w:rsidRPr="00062270" w:rsidRDefault="00062270" w:rsidP="00062270">
            <w:pPr>
              <w:pStyle w:val="BodyText"/>
              <w:numPr>
                <w:ilvl w:val="0"/>
                <w:numId w:val="30"/>
              </w:numPr>
              <w:rPr>
                <w:lang w:val="en-GB"/>
              </w:rPr>
            </w:pPr>
            <w:r w:rsidRPr="00062270">
              <w:rPr>
                <w:lang w:val="en-GB"/>
              </w:rPr>
              <w:t>pseudohypoparathyroidism, n (%)</w:t>
            </w:r>
          </w:p>
          <w:p w14:paraId="7B025F07" w14:textId="77777777" w:rsidR="00062270" w:rsidRPr="00062270" w:rsidRDefault="00062270" w:rsidP="00062270">
            <w:pPr>
              <w:pStyle w:val="BodyText"/>
              <w:numPr>
                <w:ilvl w:val="0"/>
                <w:numId w:val="30"/>
              </w:numPr>
              <w:rPr>
                <w:lang w:val="en-GB"/>
              </w:rPr>
            </w:pPr>
            <w:r w:rsidRPr="00062270">
              <w:rPr>
                <w:lang w:val="en-GB"/>
              </w:rPr>
              <w:t>age, mean (SD) median (IQR)</w:t>
            </w:r>
          </w:p>
          <w:p w14:paraId="2504875B" w14:textId="77777777" w:rsidR="00062270" w:rsidRPr="00062270" w:rsidRDefault="00062270" w:rsidP="00062270">
            <w:pPr>
              <w:pStyle w:val="BodyText"/>
              <w:numPr>
                <w:ilvl w:val="0"/>
                <w:numId w:val="30"/>
              </w:numPr>
              <w:rPr>
                <w:lang w:val="en-GB"/>
              </w:rPr>
            </w:pPr>
            <w:r w:rsidRPr="00062270">
              <w:rPr>
                <w:lang w:val="en-GB"/>
              </w:rPr>
              <w:t>sex, n (%)</w:t>
            </w:r>
          </w:p>
          <w:p w14:paraId="39C9729E" w14:textId="77777777" w:rsidR="00062270" w:rsidRPr="00062270" w:rsidRDefault="00062270" w:rsidP="00062270">
            <w:pPr>
              <w:pStyle w:val="BodyText"/>
              <w:numPr>
                <w:ilvl w:val="0"/>
                <w:numId w:val="30"/>
              </w:numPr>
              <w:rPr>
                <w:lang w:val="en-GB"/>
              </w:rPr>
            </w:pPr>
            <w:r w:rsidRPr="00062270">
              <w:rPr>
                <w:lang w:val="en-GB"/>
              </w:rPr>
              <w:t>index year, n (%)</w:t>
            </w:r>
          </w:p>
          <w:p w14:paraId="003EF8F6" w14:textId="77777777" w:rsidR="00062270" w:rsidRPr="00062270" w:rsidRDefault="00062270" w:rsidP="00062270">
            <w:pPr>
              <w:pStyle w:val="BodyText"/>
              <w:numPr>
                <w:ilvl w:val="0"/>
                <w:numId w:val="30"/>
              </w:numPr>
              <w:rPr>
                <w:lang w:val="en-GB"/>
              </w:rPr>
            </w:pPr>
            <w:r w:rsidRPr="00062270">
              <w:rPr>
                <w:lang w:val="en-GB"/>
              </w:rPr>
              <w:t>income quintile, n (%)</w:t>
            </w:r>
          </w:p>
          <w:p w14:paraId="0AE19584" w14:textId="77777777" w:rsidR="00062270" w:rsidRPr="00062270" w:rsidRDefault="00062270" w:rsidP="00062270">
            <w:pPr>
              <w:pStyle w:val="BodyText"/>
              <w:numPr>
                <w:ilvl w:val="0"/>
                <w:numId w:val="30"/>
              </w:numPr>
              <w:rPr>
                <w:lang w:val="en-GB"/>
              </w:rPr>
            </w:pPr>
            <w:r w:rsidRPr="00062270">
              <w:rPr>
                <w:lang w:val="en-GB"/>
              </w:rPr>
              <w:t>rural residence, n (%)</w:t>
            </w:r>
          </w:p>
          <w:p w14:paraId="0B319983" w14:textId="77777777" w:rsidR="00062270" w:rsidRPr="00062270" w:rsidRDefault="00062270" w:rsidP="00062270">
            <w:pPr>
              <w:pStyle w:val="BodyText"/>
              <w:numPr>
                <w:ilvl w:val="0"/>
                <w:numId w:val="30"/>
              </w:numPr>
              <w:rPr>
                <w:lang w:val="en-GB"/>
              </w:rPr>
            </w:pPr>
            <w:r w:rsidRPr="00062270">
              <w:rPr>
                <w:lang w:val="en-GB"/>
              </w:rPr>
              <w:t>resource utilization band (RUB), n (%)</w:t>
            </w:r>
          </w:p>
          <w:p w14:paraId="08DAED0F" w14:textId="77777777" w:rsidR="00062270" w:rsidRPr="00062270" w:rsidRDefault="00062270" w:rsidP="00062270">
            <w:pPr>
              <w:pStyle w:val="BodyText"/>
              <w:numPr>
                <w:ilvl w:val="0"/>
                <w:numId w:val="30"/>
              </w:numPr>
              <w:rPr>
                <w:lang w:val="en-GB"/>
              </w:rPr>
            </w:pPr>
            <w:r w:rsidRPr="00062270">
              <w:rPr>
                <w:lang w:val="en-GB"/>
              </w:rPr>
              <w:t>Local Health Integration Network (LHIN) of residence, n (%)</w:t>
            </w:r>
          </w:p>
          <w:p w14:paraId="51C4FEB1" w14:textId="77777777" w:rsidR="00062270" w:rsidRPr="00062270" w:rsidRDefault="00062270" w:rsidP="00062270">
            <w:pPr>
              <w:pStyle w:val="BodyText"/>
              <w:numPr>
                <w:ilvl w:val="0"/>
                <w:numId w:val="30"/>
              </w:numPr>
              <w:rPr>
                <w:lang w:val="en-GB"/>
              </w:rPr>
            </w:pPr>
            <w:r w:rsidRPr="00062270">
              <w:rPr>
                <w:lang w:val="en-GB"/>
              </w:rPr>
              <w:t>CCI, n (%)</w:t>
            </w:r>
          </w:p>
          <w:p w14:paraId="625A1640" w14:textId="77777777" w:rsidR="00062270" w:rsidRDefault="00062270" w:rsidP="005569E8">
            <w:pPr>
              <w:pStyle w:val="BodyText"/>
              <w:spacing w:line="300" w:lineRule="exact"/>
              <w:rPr>
                <w:b/>
                <w:bCs/>
                <w:lang w:val="en-GB"/>
              </w:rPr>
            </w:pPr>
          </w:p>
          <w:p w14:paraId="3A0F2CBE" w14:textId="3514880B" w:rsidR="005569E8" w:rsidRPr="00D55C4A" w:rsidRDefault="00062270" w:rsidP="005569E8">
            <w:pPr>
              <w:pStyle w:val="BodyText"/>
              <w:spacing w:line="300" w:lineRule="exact"/>
              <w:rPr>
                <w:b/>
                <w:bCs/>
                <w:lang w:val="en-GB"/>
              </w:rPr>
            </w:pPr>
            <w:r>
              <w:rPr>
                <w:b/>
                <w:bCs/>
                <w:lang w:val="en-GB"/>
              </w:rPr>
              <w:t>F</w:t>
            </w:r>
            <w:r w:rsidR="005569E8" w:rsidRPr="00D55C4A">
              <w:rPr>
                <w:b/>
                <w:bCs/>
                <w:lang w:val="en-GB"/>
              </w:rPr>
              <w:t xml:space="preserve">or Objective 2: </w:t>
            </w:r>
            <w:r w:rsidR="00D55C4A" w:rsidRPr="00D55C4A">
              <w:rPr>
                <w:b/>
                <w:bCs/>
                <w:lang w:val="en-GB"/>
              </w:rPr>
              <w:t>Healthcare resource utilization (HCRU)</w:t>
            </w:r>
          </w:p>
          <w:p w14:paraId="56FBF77E" w14:textId="06206E05" w:rsidR="00D55C4A" w:rsidRDefault="00D55C4A" w:rsidP="00D55C4A">
            <w:pPr>
              <w:pStyle w:val="BodyText"/>
              <w:rPr>
                <w:lang w:val="en-GB"/>
              </w:rPr>
            </w:pPr>
            <w:r w:rsidRPr="00D55C4A">
              <w:rPr>
                <w:lang w:val="en-GB"/>
              </w:rPr>
              <w:t>Frequency and percentage of the outcomes will be calculated</w:t>
            </w:r>
            <w:r w:rsidR="00222D07">
              <w:rPr>
                <w:lang w:val="en-GB"/>
              </w:rPr>
              <w:t xml:space="preserve"> for the cohorts mentioned above. These will be </w:t>
            </w:r>
            <w:r>
              <w:rPr>
                <w:lang w:val="en-GB"/>
              </w:rPr>
              <w:t xml:space="preserve">reported over the entire </w:t>
            </w:r>
            <w:proofErr w:type="gramStart"/>
            <w:r>
              <w:rPr>
                <w:lang w:val="en-GB"/>
              </w:rPr>
              <w:t>time period</w:t>
            </w:r>
            <w:proofErr w:type="gramEnd"/>
            <w:r>
              <w:rPr>
                <w:lang w:val="en-GB"/>
              </w:rPr>
              <w:t xml:space="preserve"> and for each incremental year of follow-up (C</w:t>
            </w:r>
            <w:r w:rsidRPr="009D38ED">
              <w:rPr>
                <w:lang w:val="en-GB"/>
              </w:rPr>
              <w:t>hronic</w:t>
            </w:r>
            <w:r>
              <w:rPr>
                <w:lang w:val="en-GB"/>
              </w:rPr>
              <w:t xml:space="preserve"> </w:t>
            </w:r>
            <w:r w:rsidRPr="009D38ED">
              <w:rPr>
                <w:lang w:val="en-GB"/>
              </w:rPr>
              <w:t>hypoparathyroidism</w:t>
            </w:r>
            <w:r>
              <w:rPr>
                <w:lang w:val="en-GB"/>
              </w:rPr>
              <w:t>: Year1 – Year 5/</w:t>
            </w:r>
            <w:r w:rsidRPr="002447DE">
              <w:rPr>
                <w:lang w:val="en-GB"/>
              </w:rPr>
              <w:t xml:space="preserve"> </w:t>
            </w:r>
            <w:r>
              <w:rPr>
                <w:lang w:val="en-GB"/>
              </w:rPr>
              <w:t>P</w:t>
            </w:r>
            <w:r w:rsidRPr="009D38ED">
              <w:rPr>
                <w:lang w:val="en-GB"/>
              </w:rPr>
              <w:t>oorly controlled hypoparathyroidism</w:t>
            </w:r>
            <w:r>
              <w:rPr>
                <w:lang w:val="en-GB"/>
              </w:rPr>
              <w:t xml:space="preserve">: Year1 – Year 3) as well as for the first 24 weeks following index. </w:t>
            </w:r>
            <w:r w:rsidRPr="002447DE">
              <w:rPr>
                <w:lang w:val="en-GB"/>
              </w:rPr>
              <w:t>Tabulated results for the association between cohort membership</w:t>
            </w:r>
            <w:r>
              <w:rPr>
                <w:lang w:val="en-GB"/>
              </w:rPr>
              <w:t xml:space="preserve"> and healthcare utilization </w:t>
            </w:r>
            <w:r w:rsidRPr="002447DE">
              <w:rPr>
                <w:lang w:val="en-GB"/>
              </w:rPr>
              <w:t>will include rate ratios for the HCRU analysis</w:t>
            </w:r>
            <w:r>
              <w:rPr>
                <w:lang w:val="en-GB"/>
              </w:rPr>
              <w:t xml:space="preserve"> of adult incident populations</w:t>
            </w:r>
            <w:r w:rsidRPr="002447DE">
              <w:rPr>
                <w:lang w:val="en-GB"/>
              </w:rPr>
              <w:t>. In addition</w:t>
            </w:r>
            <w:r>
              <w:rPr>
                <w:lang w:val="en-GB"/>
              </w:rPr>
              <w:t>,</w:t>
            </w:r>
            <w:r w:rsidRPr="002447DE">
              <w:rPr>
                <w:lang w:val="en-GB"/>
              </w:rPr>
              <w:t xml:space="preserve"> the 95% CIs and p-values associated with the rate ratios</w:t>
            </w:r>
            <w:r>
              <w:rPr>
                <w:lang w:val="en-GB"/>
              </w:rPr>
              <w:t xml:space="preserve"> will be presented</w:t>
            </w:r>
            <w:r w:rsidRPr="002447DE">
              <w:rPr>
                <w:lang w:val="en-GB"/>
              </w:rPr>
              <w:t>.</w:t>
            </w:r>
            <w:r>
              <w:rPr>
                <w:lang w:val="en-GB"/>
              </w:rPr>
              <w:t xml:space="preserve"> </w:t>
            </w:r>
          </w:p>
          <w:p w14:paraId="36AB9E03" w14:textId="053906A6" w:rsidR="005569E8" w:rsidRPr="00D55C4A" w:rsidRDefault="00D55C4A" w:rsidP="00D55C4A">
            <w:pPr>
              <w:pStyle w:val="BodyText"/>
              <w:rPr>
                <w:lang w:val="en-GB"/>
              </w:rPr>
            </w:pPr>
            <w:r>
              <w:rPr>
                <w:lang w:val="en-GB"/>
              </w:rPr>
              <w:t>To compare the number of HCRU between adult incident populations, the choice of model will depend on the proportion of patients that are censored (i.e. those that do not have the full cohort specific follow up time.</w:t>
            </w:r>
          </w:p>
          <w:p w14:paraId="6A842833" w14:textId="43EE962B" w:rsidR="005569E8" w:rsidRPr="00D55C4A" w:rsidRDefault="00D55C4A" w:rsidP="009E5DB6">
            <w:pPr>
              <w:pStyle w:val="BodyText"/>
              <w:numPr>
                <w:ilvl w:val="0"/>
                <w:numId w:val="26"/>
              </w:numPr>
              <w:spacing w:line="300" w:lineRule="exact"/>
              <w:rPr>
                <w:u w:val="single"/>
                <w:lang w:val="en-GB"/>
              </w:rPr>
            </w:pPr>
            <w:r w:rsidRPr="00D55C4A">
              <w:rPr>
                <w:u w:val="single"/>
                <w:lang w:val="en-GB"/>
              </w:rPr>
              <w:t>Negative Binomial:</w:t>
            </w:r>
          </w:p>
          <w:p w14:paraId="7732DDE7" w14:textId="6CFD268F" w:rsidR="00D55C4A" w:rsidRDefault="00D55C4A" w:rsidP="00D55C4A">
            <w:pPr>
              <w:ind w:left="360"/>
              <w:rPr>
                <w:lang w:val="en-GB"/>
              </w:rPr>
            </w:pPr>
            <w:r>
              <w:rPr>
                <w:lang w:val="en-GB"/>
              </w:rPr>
              <w:t xml:space="preserve">Where less than 20% of patients in either the adult </w:t>
            </w:r>
            <w:r w:rsidRPr="000E6F47">
              <w:rPr>
                <w:lang w:val="en-GB"/>
              </w:rPr>
              <w:t xml:space="preserve">chronic or poorly controlled </w:t>
            </w:r>
            <w:r>
              <w:rPr>
                <w:lang w:val="en-GB"/>
              </w:rPr>
              <w:t>h</w:t>
            </w:r>
            <w:r w:rsidRPr="00451EB1">
              <w:rPr>
                <w:lang w:val="en-GB"/>
              </w:rPr>
              <w:t>ypoparathyroidism</w:t>
            </w:r>
            <w:r w:rsidRPr="000E6F47">
              <w:rPr>
                <w:lang w:val="en-GB"/>
              </w:rPr>
              <w:t xml:space="preserve"> cohorts</w:t>
            </w:r>
            <w:r>
              <w:rPr>
                <w:lang w:val="en-GB"/>
              </w:rPr>
              <w:t xml:space="preserve"> (including controls) are censored (i.e. loss to follow up through gap in healthcare coverage, emigration or death) and the percentage of censored patients is similar (i.e. if CIs overlap) between the adult </w:t>
            </w:r>
            <w:r w:rsidRPr="000E6F47">
              <w:rPr>
                <w:lang w:val="en-GB"/>
              </w:rPr>
              <w:t xml:space="preserve">chronic or poorly controlled </w:t>
            </w:r>
            <w:r w:rsidRPr="00451EB1">
              <w:rPr>
                <w:lang w:val="en-GB"/>
              </w:rPr>
              <w:t>hypoparathyroidism</w:t>
            </w:r>
            <w:r w:rsidRPr="000E6F47">
              <w:rPr>
                <w:lang w:val="en-GB"/>
              </w:rPr>
              <w:t xml:space="preserve"> cohorts</w:t>
            </w:r>
            <w:r>
              <w:rPr>
                <w:lang w:val="en-GB"/>
              </w:rPr>
              <w:t xml:space="preserve"> and their respective matched controls, </w:t>
            </w:r>
            <w:r w:rsidRPr="000E6F47">
              <w:rPr>
                <w:lang w:val="en-GB"/>
              </w:rPr>
              <w:t>we will use a negative binomial regression mode</w:t>
            </w:r>
            <w:r>
              <w:rPr>
                <w:lang w:val="en-GB"/>
              </w:rPr>
              <w:t>l</w:t>
            </w:r>
            <w:r w:rsidRPr="00D55C4A">
              <w:rPr>
                <w:lang w:val="en-GB"/>
              </w:rPr>
              <w:t xml:space="preserve"> </w:t>
            </w:r>
            <w:r w:rsidRPr="000E6F47">
              <w:rPr>
                <w:lang w:val="en-GB"/>
              </w:rPr>
              <w:t>to compare HCRU</w:t>
            </w:r>
            <w:r>
              <w:rPr>
                <w:lang w:val="en-GB"/>
              </w:rPr>
              <w:t xml:space="preserve"> outcomes between the groups detailed above. A null model will be reported where the outcome is only adjusted for </w:t>
            </w:r>
            <w:r w:rsidRPr="00451EB1">
              <w:rPr>
                <w:lang w:val="en-GB"/>
              </w:rPr>
              <w:t>hypoparathyroidism</w:t>
            </w:r>
            <w:r>
              <w:rPr>
                <w:lang w:val="en-GB"/>
              </w:rPr>
              <w:t xml:space="preserve">. A second model will be reported where the following </w:t>
            </w:r>
            <w:r w:rsidRPr="00DE13AA">
              <w:rPr>
                <w:lang w:val="en-GB"/>
              </w:rPr>
              <w:t>confounders</w:t>
            </w:r>
            <w:r>
              <w:rPr>
                <w:lang w:val="en-GB"/>
              </w:rPr>
              <w:t xml:space="preserve"> will also be adjusted </w:t>
            </w:r>
            <w:r w:rsidRPr="00BE50A0">
              <w:rPr>
                <w:lang w:val="en-GB"/>
              </w:rPr>
              <w:t xml:space="preserve">for age, sex, index year, CCI and rural </w:t>
            </w:r>
            <w:r w:rsidRPr="00BE50A0">
              <w:rPr>
                <w:lang w:val="en-GB"/>
              </w:rPr>
              <w:lastRenderedPageBreak/>
              <w:t>residence</w:t>
            </w:r>
            <w:r>
              <w:rPr>
                <w:lang w:val="en-GB"/>
              </w:rPr>
              <w:t xml:space="preserve"> subject to the sample size allowing for the inclusion of all these variables. A panel model with year 1 as the reference category will also be reported to ascertain the effect of time on HCRU outcomes.</w:t>
            </w:r>
          </w:p>
          <w:p w14:paraId="1D761469" w14:textId="33243E58" w:rsidR="00D55C4A" w:rsidRPr="00D55C4A" w:rsidRDefault="00D55C4A" w:rsidP="009E5DB6">
            <w:pPr>
              <w:pStyle w:val="ListParagraph"/>
              <w:numPr>
                <w:ilvl w:val="0"/>
                <w:numId w:val="26"/>
              </w:numPr>
              <w:rPr>
                <w:u w:val="single"/>
                <w:lang w:val="en-GB"/>
              </w:rPr>
            </w:pPr>
            <w:bookmarkStart w:id="46" w:name="_Toc486318296"/>
            <w:bookmarkStart w:id="47" w:name="_Toc502165555"/>
            <w:r w:rsidRPr="00D55C4A">
              <w:rPr>
                <w:u w:val="single"/>
                <w:lang w:val="en-GB"/>
              </w:rPr>
              <w:t xml:space="preserve">Bang and </w:t>
            </w:r>
            <w:proofErr w:type="spellStart"/>
            <w:r w:rsidRPr="00D55C4A">
              <w:rPr>
                <w:u w:val="single"/>
                <w:lang w:val="en-GB"/>
              </w:rPr>
              <w:t>Tsiatis</w:t>
            </w:r>
            <w:bookmarkEnd w:id="46"/>
            <w:bookmarkEnd w:id="47"/>
            <w:proofErr w:type="spellEnd"/>
            <w:r>
              <w:rPr>
                <w:u w:val="single"/>
                <w:lang w:val="en-GB"/>
              </w:rPr>
              <w:t>:</w:t>
            </w:r>
          </w:p>
          <w:p w14:paraId="55F9CFB8" w14:textId="3DC09F98" w:rsidR="00D55C4A" w:rsidRPr="00631C0C" w:rsidRDefault="00D55C4A" w:rsidP="00D55C4A">
            <w:pPr>
              <w:ind w:left="360"/>
              <w:rPr>
                <w:lang w:val="en-GB"/>
              </w:rPr>
            </w:pPr>
            <w:r w:rsidRPr="00631C0C">
              <w:rPr>
                <w:lang w:val="en-GB"/>
              </w:rPr>
              <w:t xml:space="preserve">If </w:t>
            </w:r>
            <w:r>
              <w:rPr>
                <w:lang w:val="en-GB"/>
              </w:rPr>
              <w:t xml:space="preserve">≥ </w:t>
            </w:r>
            <w:r w:rsidRPr="00631C0C">
              <w:rPr>
                <w:lang w:val="en-GB"/>
              </w:rPr>
              <w:t>20% of patients</w:t>
            </w:r>
            <w:r>
              <w:rPr>
                <w:lang w:val="en-GB"/>
              </w:rPr>
              <w:t xml:space="preserve"> are censored or the amount of censoring is</w:t>
            </w:r>
            <w:r w:rsidRPr="00631C0C">
              <w:rPr>
                <w:lang w:val="en-GB"/>
              </w:rPr>
              <w:t xml:space="preserve"> differential between the two cohorts being compared, we will use the method of Bang and </w:t>
            </w:r>
            <w:proofErr w:type="spellStart"/>
            <w:r w:rsidRPr="00631C0C">
              <w:rPr>
                <w:lang w:val="en-GB"/>
              </w:rPr>
              <w:t>Tsiatis</w:t>
            </w:r>
            <w:proofErr w:type="spellEnd"/>
            <w:r w:rsidRPr="00631C0C">
              <w:rPr>
                <w:lang w:val="en-GB"/>
              </w:rPr>
              <w:t>. Note that with this method, we will not be able to adjust for additional confounders.</w:t>
            </w:r>
          </w:p>
          <w:p w14:paraId="5FA47E86" w14:textId="77777777" w:rsidR="00062270" w:rsidRDefault="00062270" w:rsidP="00D55C4A">
            <w:pPr>
              <w:pStyle w:val="BodyText"/>
              <w:spacing w:line="300" w:lineRule="exact"/>
              <w:rPr>
                <w:b/>
                <w:bCs/>
                <w:lang w:val="en-GB"/>
              </w:rPr>
            </w:pPr>
          </w:p>
          <w:p w14:paraId="7B4BD437" w14:textId="6FB3CBF6" w:rsidR="00D55C4A" w:rsidRDefault="00D55C4A" w:rsidP="00D55C4A">
            <w:pPr>
              <w:pStyle w:val="BodyText"/>
              <w:spacing w:line="300" w:lineRule="exact"/>
              <w:rPr>
                <w:b/>
                <w:bCs/>
                <w:lang w:val="en-GB"/>
              </w:rPr>
            </w:pPr>
            <w:r w:rsidRPr="00D55C4A">
              <w:rPr>
                <w:b/>
                <w:bCs/>
                <w:lang w:val="en-GB"/>
              </w:rPr>
              <w:t xml:space="preserve">For Objective </w:t>
            </w:r>
            <w:r>
              <w:rPr>
                <w:b/>
                <w:bCs/>
                <w:lang w:val="en-GB"/>
              </w:rPr>
              <w:t>3</w:t>
            </w:r>
            <w:r w:rsidRPr="00D55C4A">
              <w:rPr>
                <w:b/>
                <w:bCs/>
                <w:lang w:val="en-GB"/>
              </w:rPr>
              <w:t xml:space="preserve">: Healthcare resource </w:t>
            </w:r>
            <w:r>
              <w:rPr>
                <w:b/>
                <w:bCs/>
                <w:lang w:val="en-GB"/>
              </w:rPr>
              <w:t>costs</w:t>
            </w:r>
          </w:p>
          <w:p w14:paraId="19D97C26" w14:textId="266E2C2F" w:rsidR="00222D07" w:rsidRPr="009D38ED" w:rsidRDefault="00222D07" w:rsidP="00222D07">
            <w:pPr>
              <w:pStyle w:val="BodyText"/>
              <w:rPr>
                <w:lang w:val="en-GB"/>
              </w:rPr>
            </w:pPr>
            <w:r>
              <w:rPr>
                <w:lang w:val="en-GB"/>
              </w:rPr>
              <w:t>The m</w:t>
            </w:r>
            <w:r w:rsidRPr="00D55C4A">
              <w:rPr>
                <w:lang w:val="en-GB"/>
              </w:rPr>
              <w:t xml:space="preserve">ean (±SD) and </w:t>
            </w:r>
            <w:r>
              <w:rPr>
                <w:lang w:val="en-GB"/>
              </w:rPr>
              <w:t>m</w:t>
            </w:r>
            <w:r w:rsidRPr="00D55C4A">
              <w:rPr>
                <w:lang w:val="en-GB"/>
              </w:rPr>
              <w:t>edian (IQR)</w:t>
            </w:r>
            <w:r>
              <w:rPr>
                <w:lang w:val="en-GB"/>
              </w:rPr>
              <w:t xml:space="preserve"> costs will be calculated for the </w:t>
            </w:r>
            <w:proofErr w:type="gramStart"/>
            <w:r>
              <w:rPr>
                <w:lang w:val="en-GB"/>
              </w:rPr>
              <w:t>patients</w:t>
            </w:r>
            <w:proofErr w:type="gramEnd"/>
            <w:r>
              <w:rPr>
                <w:lang w:val="en-GB"/>
              </w:rPr>
              <w:t xml:space="preserve"> groups listed above. </w:t>
            </w:r>
            <w:r w:rsidRPr="002447DE">
              <w:rPr>
                <w:lang w:val="en-GB"/>
              </w:rPr>
              <w:t xml:space="preserve">Tabulated results for the association between cohort membership and healthcare cost will include </w:t>
            </w:r>
            <w:r>
              <w:rPr>
                <w:lang w:val="en-GB"/>
              </w:rPr>
              <w:t xml:space="preserve">unadjusted model estimates. </w:t>
            </w:r>
            <w:r w:rsidRPr="002447DE">
              <w:rPr>
                <w:lang w:val="en-GB"/>
              </w:rPr>
              <w:t>In addition</w:t>
            </w:r>
            <w:r>
              <w:rPr>
                <w:lang w:val="en-GB"/>
              </w:rPr>
              <w:t>,</w:t>
            </w:r>
            <w:r w:rsidRPr="002447DE">
              <w:rPr>
                <w:lang w:val="en-GB"/>
              </w:rPr>
              <w:t xml:space="preserve"> the 95% Cis</w:t>
            </w:r>
            <w:r>
              <w:rPr>
                <w:lang w:val="en-GB"/>
              </w:rPr>
              <w:t>/standard errors</w:t>
            </w:r>
            <w:r w:rsidRPr="002447DE">
              <w:rPr>
                <w:lang w:val="en-GB"/>
              </w:rPr>
              <w:t xml:space="preserve"> and p-values associated with the </w:t>
            </w:r>
            <w:r>
              <w:rPr>
                <w:lang w:val="en-GB"/>
              </w:rPr>
              <w:t>model estimates will be reported.</w:t>
            </w:r>
          </w:p>
          <w:p w14:paraId="477C7853" w14:textId="2657EE94" w:rsidR="00222D07" w:rsidRPr="00222D07" w:rsidRDefault="00222D07" w:rsidP="009E5DB6">
            <w:pPr>
              <w:pStyle w:val="ListParagraph"/>
              <w:numPr>
                <w:ilvl w:val="0"/>
                <w:numId w:val="26"/>
              </w:numPr>
              <w:rPr>
                <w:u w:val="single"/>
              </w:rPr>
            </w:pPr>
            <w:bookmarkStart w:id="48" w:name="_Toc486318298"/>
            <w:bookmarkStart w:id="49" w:name="_Toc502165557"/>
            <w:r w:rsidRPr="00222D07">
              <w:rPr>
                <w:u w:val="single"/>
              </w:rPr>
              <w:t>Gamma</w:t>
            </w:r>
            <w:bookmarkEnd w:id="48"/>
            <w:bookmarkEnd w:id="49"/>
            <w:r w:rsidRPr="00222D07">
              <w:rPr>
                <w:u w:val="single"/>
              </w:rPr>
              <w:t>:</w:t>
            </w:r>
          </w:p>
          <w:p w14:paraId="0D20DCAD" w14:textId="38D5C35A" w:rsidR="00222D07" w:rsidRDefault="00222D07" w:rsidP="00222D07">
            <w:pPr>
              <w:ind w:left="360"/>
              <w:rPr>
                <w:lang w:val="en-GB"/>
              </w:rPr>
            </w:pPr>
            <w:r>
              <w:rPr>
                <w:lang w:val="en-GB"/>
              </w:rPr>
              <w:t xml:space="preserve">Where less than 20% of patients in either the adult </w:t>
            </w:r>
            <w:r w:rsidRPr="000E6F47">
              <w:rPr>
                <w:lang w:val="en-GB"/>
              </w:rPr>
              <w:t xml:space="preserve">chronic or poorly controlled </w:t>
            </w:r>
            <w:r>
              <w:rPr>
                <w:lang w:val="en-GB"/>
              </w:rPr>
              <w:t>h</w:t>
            </w:r>
            <w:r w:rsidRPr="00451EB1">
              <w:rPr>
                <w:lang w:val="en-GB"/>
              </w:rPr>
              <w:t>ypoparathyroidism</w:t>
            </w:r>
            <w:r w:rsidRPr="000E6F47">
              <w:rPr>
                <w:lang w:val="en-GB"/>
              </w:rPr>
              <w:t xml:space="preserve"> cohorts</w:t>
            </w:r>
            <w:r>
              <w:rPr>
                <w:lang w:val="en-GB"/>
              </w:rPr>
              <w:t xml:space="preserve"> (including controls) are censored (i.e. loss to follow up through gap in healthcare coverage, emigration or death) and the percentage of censored patients is similar (i.e. if CIs overlap) between the adult </w:t>
            </w:r>
            <w:r w:rsidRPr="000E6F47">
              <w:rPr>
                <w:lang w:val="en-GB"/>
              </w:rPr>
              <w:t xml:space="preserve">chronic or poorly controlled </w:t>
            </w:r>
            <w:r w:rsidRPr="00451EB1">
              <w:rPr>
                <w:lang w:val="en-GB"/>
              </w:rPr>
              <w:t>hypoparathyroidism</w:t>
            </w:r>
            <w:r w:rsidRPr="000E6F47">
              <w:rPr>
                <w:lang w:val="en-GB"/>
              </w:rPr>
              <w:t xml:space="preserve"> cohorts</w:t>
            </w:r>
            <w:r>
              <w:rPr>
                <w:lang w:val="en-GB"/>
              </w:rPr>
              <w:t xml:space="preserve"> and their respective matched controls, </w:t>
            </w:r>
            <w:r w:rsidRPr="000E6F47">
              <w:rPr>
                <w:lang w:val="en-GB"/>
              </w:rPr>
              <w:t xml:space="preserve">we will use a </w:t>
            </w:r>
            <w:r>
              <w:rPr>
                <w:lang w:val="en-GB"/>
              </w:rPr>
              <w:t>gamma</w:t>
            </w:r>
            <w:r w:rsidRPr="000E6F47">
              <w:rPr>
                <w:lang w:val="en-GB"/>
              </w:rPr>
              <w:t xml:space="preserve"> regression mode</w:t>
            </w:r>
            <w:r w:rsidR="000738A5">
              <w:rPr>
                <w:lang w:val="en-GB"/>
              </w:rPr>
              <w:t xml:space="preserve">l </w:t>
            </w:r>
            <w:r w:rsidRPr="000E6F47">
              <w:rPr>
                <w:lang w:val="en-GB"/>
              </w:rPr>
              <w:t xml:space="preserve">to compare </w:t>
            </w:r>
            <w:r>
              <w:rPr>
                <w:lang w:val="en-GB"/>
              </w:rPr>
              <w:t xml:space="preserve">the costs associated with healthcare resource use outcomes between the groups. A null model will be reported where the costs are only adjusted for </w:t>
            </w:r>
            <w:r w:rsidRPr="00451EB1">
              <w:rPr>
                <w:lang w:val="en-GB"/>
              </w:rPr>
              <w:t>hypoparathyroidism</w:t>
            </w:r>
            <w:r>
              <w:rPr>
                <w:lang w:val="en-GB"/>
              </w:rPr>
              <w:t xml:space="preserve">. A second model will be reported where the following </w:t>
            </w:r>
            <w:r w:rsidRPr="00DE13AA">
              <w:rPr>
                <w:lang w:val="en-GB"/>
              </w:rPr>
              <w:t>confounders</w:t>
            </w:r>
            <w:r>
              <w:rPr>
                <w:lang w:val="en-GB"/>
              </w:rPr>
              <w:t xml:space="preserve"> will also be adjusted f</w:t>
            </w:r>
            <w:r w:rsidRPr="00BE50A0">
              <w:rPr>
                <w:lang w:val="en-GB"/>
              </w:rPr>
              <w:t>or age, sex, index year, CCI and rural residence</w:t>
            </w:r>
            <w:r>
              <w:rPr>
                <w:lang w:val="en-GB"/>
              </w:rPr>
              <w:t xml:space="preserve"> subject to the sample size allowing for the inclusion of all these variables. A panel model with year 1 as the reference category will also be reported to ascertain the effect of time on HCRU outcomes.</w:t>
            </w:r>
          </w:p>
          <w:p w14:paraId="40BE8821" w14:textId="044D90F2" w:rsidR="00222D07" w:rsidRPr="00222D07" w:rsidRDefault="00222D07" w:rsidP="009E5DB6">
            <w:pPr>
              <w:pStyle w:val="ListParagraph"/>
              <w:numPr>
                <w:ilvl w:val="0"/>
                <w:numId w:val="26"/>
              </w:numPr>
              <w:rPr>
                <w:u w:val="single"/>
              </w:rPr>
            </w:pPr>
            <w:bookmarkStart w:id="50" w:name="_Toc486318299"/>
            <w:bookmarkStart w:id="51" w:name="_Toc502165558"/>
            <w:r w:rsidRPr="00222D07">
              <w:rPr>
                <w:u w:val="single"/>
              </w:rPr>
              <w:t xml:space="preserve">Bang and </w:t>
            </w:r>
            <w:proofErr w:type="spellStart"/>
            <w:r w:rsidRPr="00222D07">
              <w:rPr>
                <w:u w:val="single"/>
              </w:rPr>
              <w:t>Tsiatis</w:t>
            </w:r>
            <w:bookmarkEnd w:id="50"/>
            <w:bookmarkEnd w:id="51"/>
            <w:proofErr w:type="spellEnd"/>
            <w:r w:rsidRPr="00222D07">
              <w:rPr>
                <w:u w:val="single"/>
              </w:rPr>
              <w:t>:</w:t>
            </w:r>
          </w:p>
          <w:p w14:paraId="68792510" w14:textId="55AD8080" w:rsidR="00222D07" w:rsidRPr="00631C0C" w:rsidRDefault="00222D07" w:rsidP="00222D07">
            <w:pPr>
              <w:ind w:left="360"/>
              <w:rPr>
                <w:lang w:val="en-GB"/>
              </w:rPr>
            </w:pPr>
            <w:r w:rsidRPr="00631C0C">
              <w:rPr>
                <w:lang w:val="en-GB"/>
              </w:rPr>
              <w:t xml:space="preserve">If </w:t>
            </w:r>
            <w:r>
              <w:rPr>
                <w:lang w:val="en-GB"/>
              </w:rPr>
              <w:t xml:space="preserve">≥ </w:t>
            </w:r>
            <w:r w:rsidRPr="00631C0C">
              <w:rPr>
                <w:lang w:val="en-GB"/>
              </w:rPr>
              <w:t>20% of patients</w:t>
            </w:r>
            <w:r>
              <w:rPr>
                <w:lang w:val="en-GB"/>
              </w:rPr>
              <w:t xml:space="preserve"> are censored or the amount of censoring is</w:t>
            </w:r>
            <w:r w:rsidRPr="00631C0C">
              <w:rPr>
                <w:lang w:val="en-GB"/>
              </w:rPr>
              <w:t xml:space="preserve"> differential between the two cohorts being compared, we will use</w:t>
            </w:r>
            <w:r>
              <w:rPr>
                <w:lang w:val="en-GB"/>
              </w:rPr>
              <w:t xml:space="preserve"> the method of Bang and </w:t>
            </w:r>
            <w:proofErr w:type="spellStart"/>
            <w:r>
              <w:rPr>
                <w:lang w:val="en-GB"/>
              </w:rPr>
              <w:t>Tsiatis</w:t>
            </w:r>
            <w:proofErr w:type="spellEnd"/>
            <w:r w:rsidR="000B388B">
              <w:rPr>
                <w:lang w:val="en-GB"/>
              </w:rPr>
              <w:t>.</w:t>
            </w:r>
            <w:r w:rsidR="000B388B" w:rsidRPr="00631C0C">
              <w:rPr>
                <w:lang w:val="en-GB"/>
              </w:rPr>
              <w:t xml:space="preserve"> </w:t>
            </w:r>
            <w:proofErr w:type="spellStart"/>
            <w:r w:rsidRPr="00631C0C">
              <w:rPr>
                <w:lang w:val="en-GB"/>
              </w:rPr>
              <w:t>ote</w:t>
            </w:r>
            <w:proofErr w:type="spellEnd"/>
            <w:r w:rsidRPr="00631C0C">
              <w:rPr>
                <w:lang w:val="en-GB"/>
              </w:rPr>
              <w:t xml:space="preserve"> that with this method, we will not be able to adjust for additional confounders.</w:t>
            </w:r>
          </w:p>
          <w:p w14:paraId="0BA266C0" w14:textId="77777777" w:rsidR="005569E8" w:rsidRPr="00D55C4A" w:rsidRDefault="005569E8" w:rsidP="005569E8">
            <w:pPr>
              <w:pStyle w:val="BodyText"/>
              <w:spacing w:line="300" w:lineRule="exact"/>
              <w:rPr>
                <w:lang w:val="en-GB"/>
              </w:rPr>
            </w:pPr>
          </w:p>
          <w:p w14:paraId="60588EDA" w14:textId="77777777" w:rsidR="00222D07" w:rsidRPr="009D1245" w:rsidRDefault="00222D07" w:rsidP="00222D07">
            <w:pPr>
              <w:pStyle w:val="Heading2"/>
              <w:jc w:val="left"/>
              <w:rPr>
                <w:bCs/>
                <w:sz w:val="20"/>
                <w:szCs w:val="20"/>
                <w:lang w:val="en-GB"/>
              </w:rPr>
            </w:pPr>
            <w:bookmarkStart w:id="52" w:name="_Toc454808158"/>
            <w:bookmarkStart w:id="53" w:name="_Toc486318301"/>
            <w:bookmarkStart w:id="54" w:name="_Toc502165560"/>
            <w:r w:rsidRPr="009D1245">
              <w:rPr>
                <w:bCs/>
                <w:sz w:val="20"/>
                <w:szCs w:val="20"/>
                <w:lang w:val="en-GB"/>
              </w:rPr>
              <w:t>Handling Bias, Missing Values and Loss of Follow-up</w:t>
            </w:r>
            <w:bookmarkEnd w:id="52"/>
            <w:bookmarkEnd w:id="53"/>
            <w:bookmarkEnd w:id="54"/>
          </w:p>
          <w:p w14:paraId="406D326A" w14:textId="77777777" w:rsidR="00222D07" w:rsidRDefault="00222D07" w:rsidP="00222D07">
            <w:pPr>
              <w:pStyle w:val="BodyText"/>
              <w:rPr>
                <w:lang w:val="en-GB" w:eastAsia="ja-JP"/>
              </w:rPr>
            </w:pPr>
            <w:r>
              <w:rPr>
                <w:lang w:val="en-GB" w:eastAsia="ja-JP"/>
              </w:rPr>
              <w:t>There will be no imputation of missing data. When reporting Objective 1, m</w:t>
            </w:r>
            <w:r w:rsidRPr="00A310B4">
              <w:rPr>
                <w:lang w:val="en-GB"/>
              </w:rPr>
              <w:t>issing data of documented will not be replaced; the corresponding value will be set to “missing”. The decision on exclusion of variables from analysis in case of a large proportion of missing values (</w:t>
            </w:r>
            <w:proofErr w:type="gramStart"/>
            <w:r w:rsidRPr="00A310B4">
              <w:rPr>
                <w:lang w:val="en-GB"/>
              </w:rPr>
              <w:t>e.g.</w:t>
            </w:r>
            <w:proofErr w:type="gramEnd"/>
            <w:r w:rsidRPr="00A310B4">
              <w:rPr>
                <w:lang w:val="en-GB"/>
              </w:rPr>
              <w:t xml:space="preserve"> over 90%) will be made taking into account the absolute numbers of available values.</w:t>
            </w:r>
          </w:p>
          <w:p w14:paraId="3833D198" w14:textId="77777777" w:rsidR="00222D07" w:rsidRDefault="00222D07" w:rsidP="00222D07">
            <w:pPr>
              <w:pStyle w:val="BodyText"/>
              <w:rPr>
                <w:lang w:val="en-GB"/>
              </w:rPr>
            </w:pPr>
            <w:r>
              <w:rPr>
                <w:lang w:val="en-GB" w:eastAsia="ja-JP"/>
              </w:rPr>
              <w:t xml:space="preserve">The number and percentage of patients who are not censored will be reported for each incremental year of follow up </w:t>
            </w:r>
            <w:r>
              <w:rPr>
                <w:lang w:val="en-GB"/>
              </w:rPr>
              <w:t>(C</w:t>
            </w:r>
            <w:r w:rsidRPr="009D38ED">
              <w:rPr>
                <w:lang w:val="en-GB"/>
              </w:rPr>
              <w:t>hronic</w:t>
            </w:r>
            <w:r>
              <w:rPr>
                <w:lang w:val="en-GB"/>
              </w:rPr>
              <w:t xml:space="preserve"> </w:t>
            </w:r>
            <w:r w:rsidRPr="009D38ED">
              <w:rPr>
                <w:lang w:val="en-GB"/>
              </w:rPr>
              <w:t>hypoparathyroidism</w:t>
            </w:r>
            <w:r>
              <w:rPr>
                <w:lang w:val="en-GB"/>
              </w:rPr>
              <w:t>: Year1 – Year 5/</w:t>
            </w:r>
            <w:r w:rsidRPr="002447DE">
              <w:rPr>
                <w:lang w:val="en-GB"/>
              </w:rPr>
              <w:t xml:space="preserve"> </w:t>
            </w:r>
            <w:r>
              <w:rPr>
                <w:lang w:val="en-GB"/>
              </w:rPr>
              <w:t>P</w:t>
            </w:r>
            <w:r w:rsidRPr="009D38ED">
              <w:rPr>
                <w:lang w:val="en-GB"/>
              </w:rPr>
              <w:t>oorly controlled hypoparathyroidism</w:t>
            </w:r>
            <w:r>
              <w:rPr>
                <w:lang w:val="en-GB"/>
              </w:rPr>
              <w:t>: Year1 – Year 3).</w:t>
            </w:r>
          </w:p>
          <w:p w14:paraId="208AC4B3" w14:textId="4B45FBAE" w:rsidR="005569E8" w:rsidRPr="00D55C4A" w:rsidRDefault="005569E8" w:rsidP="005569E8">
            <w:pPr>
              <w:pStyle w:val="BodyText"/>
              <w:spacing w:line="300" w:lineRule="exact"/>
              <w:rPr>
                <w:lang w:val="en-GB"/>
              </w:rPr>
            </w:pPr>
          </w:p>
        </w:tc>
      </w:tr>
      <w:tr w:rsidR="00B34613" w:rsidRPr="002F6DB4" w14:paraId="21944FEB" w14:textId="77777777" w:rsidTr="00640E23">
        <w:trPr>
          <w:cantSplit/>
        </w:trPr>
        <w:tc>
          <w:tcPr>
            <w:tcW w:w="1655" w:type="pct"/>
            <w:tcBorders>
              <w:top w:val="single" w:sz="4" w:space="0" w:color="999999"/>
              <w:bottom w:val="single" w:sz="4" w:space="0" w:color="999999"/>
              <w:right w:val="single" w:sz="4" w:space="0" w:color="999999"/>
            </w:tcBorders>
            <w:noWrap/>
            <w:tcMar>
              <w:top w:w="15" w:type="dxa"/>
              <w:left w:w="15" w:type="dxa"/>
              <w:bottom w:w="0" w:type="dxa"/>
              <w:right w:w="15" w:type="dxa"/>
            </w:tcMar>
          </w:tcPr>
          <w:p w14:paraId="16E4608A" w14:textId="77777777" w:rsidR="00B34613" w:rsidRDefault="00B34613" w:rsidP="002619EF">
            <w:pPr>
              <w:pStyle w:val="ListBullet2"/>
              <w:numPr>
                <w:ilvl w:val="0"/>
                <w:numId w:val="0"/>
              </w:numPr>
            </w:pPr>
            <w:r>
              <w:rPr>
                <w:b/>
              </w:rPr>
              <w:lastRenderedPageBreak/>
              <w:tab/>
              <w:t>Primary independent variable</w:t>
            </w:r>
          </w:p>
        </w:tc>
        <w:tc>
          <w:tcPr>
            <w:tcW w:w="3345" w:type="pct"/>
            <w:gridSpan w:val="2"/>
            <w:tcBorders>
              <w:top w:val="single" w:sz="4" w:space="0" w:color="999999"/>
              <w:left w:val="single" w:sz="4" w:space="0" w:color="999999"/>
              <w:bottom w:val="single" w:sz="4" w:space="0" w:color="999999"/>
            </w:tcBorders>
          </w:tcPr>
          <w:p w14:paraId="029D79BE" w14:textId="77777777" w:rsidR="00B34613" w:rsidRPr="000738A5" w:rsidRDefault="000738A5" w:rsidP="002619EF">
            <w:pPr>
              <w:pStyle w:val="ListBullet2"/>
              <w:numPr>
                <w:ilvl w:val="0"/>
                <w:numId w:val="0"/>
              </w:numPr>
              <w:rPr>
                <w:b/>
                <w:bCs/>
              </w:rPr>
            </w:pPr>
            <w:r w:rsidRPr="000738A5">
              <w:rPr>
                <w:b/>
                <w:bCs/>
              </w:rPr>
              <w:t xml:space="preserve">For Objective 2: </w:t>
            </w:r>
          </w:p>
          <w:p w14:paraId="04AE9FC4" w14:textId="77777777" w:rsidR="000738A5" w:rsidRDefault="000738A5" w:rsidP="009E5DB6">
            <w:pPr>
              <w:pStyle w:val="BodyText"/>
              <w:numPr>
                <w:ilvl w:val="0"/>
                <w:numId w:val="29"/>
              </w:numPr>
              <w:rPr>
                <w:lang w:val="en-GB"/>
              </w:rPr>
            </w:pPr>
            <w:r w:rsidRPr="009D38ED">
              <w:rPr>
                <w:lang w:val="en-GB"/>
              </w:rPr>
              <w:t xml:space="preserve">visits to outpatient (primary </w:t>
            </w:r>
            <w:r>
              <w:rPr>
                <w:lang w:val="en-GB"/>
              </w:rPr>
              <w:t xml:space="preserve">care </w:t>
            </w:r>
            <w:r w:rsidRPr="009D38ED">
              <w:rPr>
                <w:lang w:val="en-GB"/>
              </w:rPr>
              <w:t xml:space="preserve">and </w:t>
            </w:r>
            <w:r>
              <w:rPr>
                <w:lang w:val="en-GB"/>
              </w:rPr>
              <w:t>specialist visits</w:t>
            </w:r>
            <w:r w:rsidRPr="009D38ED">
              <w:rPr>
                <w:lang w:val="en-GB"/>
              </w:rPr>
              <w:t>) settings</w:t>
            </w:r>
          </w:p>
          <w:p w14:paraId="3A33CB6A" w14:textId="77777777" w:rsidR="000738A5" w:rsidRDefault="000738A5" w:rsidP="009E5DB6">
            <w:pPr>
              <w:pStyle w:val="BodyText"/>
              <w:numPr>
                <w:ilvl w:val="1"/>
                <w:numId w:val="29"/>
              </w:numPr>
              <w:rPr>
                <w:lang w:val="en-GB" w:eastAsia="en-GB"/>
              </w:rPr>
            </w:pPr>
            <w:r>
              <w:rPr>
                <w:lang w:val="en-GB" w:eastAsia="en-GB"/>
              </w:rPr>
              <w:t>GP</w:t>
            </w:r>
          </w:p>
          <w:p w14:paraId="700F7799" w14:textId="77777777" w:rsidR="000738A5" w:rsidRDefault="000738A5" w:rsidP="009E5DB6">
            <w:pPr>
              <w:pStyle w:val="BodyText"/>
              <w:numPr>
                <w:ilvl w:val="1"/>
                <w:numId w:val="29"/>
              </w:numPr>
              <w:rPr>
                <w:lang w:val="en-GB" w:eastAsia="en-GB"/>
              </w:rPr>
            </w:pPr>
            <w:r>
              <w:rPr>
                <w:lang w:val="en-GB" w:eastAsia="en-GB"/>
              </w:rPr>
              <w:t>specialist</w:t>
            </w:r>
          </w:p>
          <w:p w14:paraId="1C6C1D79" w14:textId="77777777" w:rsidR="000738A5" w:rsidRPr="00BA72E9" w:rsidRDefault="000738A5" w:rsidP="009E5DB6">
            <w:pPr>
              <w:pStyle w:val="BodyText"/>
              <w:numPr>
                <w:ilvl w:val="1"/>
                <w:numId w:val="29"/>
              </w:numPr>
              <w:rPr>
                <w:lang w:val="en-GB" w:eastAsia="en-GB"/>
              </w:rPr>
            </w:pPr>
            <w:r>
              <w:rPr>
                <w:lang w:val="en-GB" w:eastAsia="en-GB"/>
              </w:rPr>
              <w:t>other</w:t>
            </w:r>
          </w:p>
          <w:p w14:paraId="7AB36C37" w14:textId="77777777" w:rsidR="000738A5" w:rsidRPr="009D38ED" w:rsidRDefault="000738A5" w:rsidP="009E5DB6">
            <w:pPr>
              <w:pStyle w:val="BodyText"/>
              <w:numPr>
                <w:ilvl w:val="0"/>
                <w:numId w:val="29"/>
              </w:numPr>
              <w:rPr>
                <w:lang w:val="en-GB"/>
              </w:rPr>
            </w:pPr>
            <w:r w:rsidRPr="009D38ED">
              <w:rPr>
                <w:lang w:val="en-GB"/>
              </w:rPr>
              <w:t>emergency department visits</w:t>
            </w:r>
          </w:p>
          <w:p w14:paraId="504B8233" w14:textId="77777777" w:rsidR="000738A5" w:rsidRPr="009D38ED" w:rsidRDefault="000738A5" w:rsidP="009E5DB6">
            <w:pPr>
              <w:pStyle w:val="BodyText"/>
              <w:numPr>
                <w:ilvl w:val="0"/>
                <w:numId w:val="29"/>
              </w:numPr>
              <w:rPr>
                <w:lang w:val="en-GB"/>
              </w:rPr>
            </w:pPr>
            <w:r>
              <w:rPr>
                <w:lang w:val="en-GB" w:eastAsia="en-GB"/>
              </w:rPr>
              <w:t>hospitalizations</w:t>
            </w:r>
          </w:p>
          <w:p w14:paraId="7BCEC10E" w14:textId="77777777" w:rsidR="000738A5" w:rsidRPr="009D38ED" w:rsidRDefault="000738A5" w:rsidP="009E5DB6">
            <w:pPr>
              <w:pStyle w:val="BodyText"/>
              <w:numPr>
                <w:ilvl w:val="0"/>
                <w:numId w:val="29"/>
              </w:numPr>
              <w:rPr>
                <w:lang w:val="en-GB"/>
              </w:rPr>
            </w:pPr>
            <w:r w:rsidRPr="009D38ED">
              <w:rPr>
                <w:lang w:val="en-GB"/>
              </w:rPr>
              <w:t>long term care</w:t>
            </w:r>
          </w:p>
          <w:p w14:paraId="45D130D2" w14:textId="77777777" w:rsidR="000738A5" w:rsidRPr="009D38ED" w:rsidRDefault="000738A5" w:rsidP="009E5DB6">
            <w:pPr>
              <w:pStyle w:val="BodyText"/>
              <w:numPr>
                <w:ilvl w:val="0"/>
                <w:numId w:val="29"/>
              </w:numPr>
              <w:rPr>
                <w:lang w:val="en-GB"/>
              </w:rPr>
            </w:pPr>
            <w:r w:rsidRPr="009D38ED">
              <w:rPr>
                <w:lang w:val="en-GB"/>
              </w:rPr>
              <w:t>same day surgeries</w:t>
            </w:r>
          </w:p>
          <w:p w14:paraId="054AB026" w14:textId="77777777" w:rsidR="000738A5" w:rsidRPr="009D38ED" w:rsidRDefault="000738A5" w:rsidP="009E5DB6">
            <w:pPr>
              <w:pStyle w:val="BodyText"/>
              <w:numPr>
                <w:ilvl w:val="0"/>
                <w:numId w:val="29"/>
              </w:numPr>
              <w:rPr>
                <w:lang w:val="en-GB"/>
              </w:rPr>
            </w:pPr>
            <w:r w:rsidRPr="009D38ED">
              <w:rPr>
                <w:lang w:val="en-GB"/>
              </w:rPr>
              <w:t>rehabilitation services</w:t>
            </w:r>
          </w:p>
          <w:p w14:paraId="1D545CB3" w14:textId="77777777" w:rsidR="000738A5" w:rsidRDefault="000738A5" w:rsidP="009E5DB6">
            <w:pPr>
              <w:pStyle w:val="BodyText"/>
              <w:numPr>
                <w:ilvl w:val="0"/>
                <w:numId w:val="29"/>
              </w:numPr>
              <w:rPr>
                <w:lang w:val="en-GB"/>
              </w:rPr>
            </w:pPr>
            <w:r w:rsidRPr="009D38ED">
              <w:rPr>
                <w:lang w:val="en-GB"/>
              </w:rPr>
              <w:t>total visits (to any healthcare touchpoint detailed above)</w:t>
            </w:r>
            <w:r>
              <w:rPr>
                <w:lang w:val="en-GB"/>
              </w:rPr>
              <w:t>.</w:t>
            </w:r>
          </w:p>
          <w:p w14:paraId="781BB1D2" w14:textId="77777777" w:rsidR="000738A5" w:rsidRDefault="000738A5" w:rsidP="002619EF">
            <w:pPr>
              <w:pStyle w:val="ListBullet2"/>
              <w:numPr>
                <w:ilvl w:val="0"/>
                <w:numId w:val="0"/>
              </w:numPr>
            </w:pPr>
          </w:p>
          <w:p w14:paraId="65AFCE18" w14:textId="77777777" w:rsidR="000738A5" w:rsidRPr="000738A5" w:rsidRDefault="000738A5" w:rsidP="002619EF">
            <w:pPr>
              <w:pStyle w:val="ListBullet2"/>
              <w:numPr>
                <w:ilvl w:val="0"/>
                <w:numId w:val="0"/>
              </w:numPr>
              <w:rPr>
                <w:b/>
                <w:bCs/>
              </w:rPr>
            </w:pPr>
            <w:r w:rsidRPr="000738A5">
              <w:rPr>
                <w:b/>
                <w:bCs/>
              </w:rPr>
              <w:t>For Objective 3:</w:t>
            </w:r>
          </w:p>
          <w:p w14:paraId="51A8566D" w14:textId="77777777" w:rsidR="000738A5" w:rsidRDefault="000738A5" w:rsidP="009E5DB6">
            <w:pPr>
              <w:pStyle w:val="BodyText"/>
              <w:numPr>
                <w:ilvl w:val="0"/>
                <w:numId w:val="28"/>
              </w:numPr>
              <w:rPr>
                <w:lang w:val="en-GB" w:eastAsia="en-GB"/>
              </w:rPr>
            </w:pPr>
            <w:r>
              <w:rPr>
                <w:lang w:val="en-GB" w:eastAsia="en-GB"/>
              </w:rPr>
              <w:t>physician billing</w:t>
            </w:r>
          </w:p>
          <w:p w14:paraId="420872E8" w14:textId="77777777" w:rsidR="000738A5" w:rsidRDefault="000738A5" w:rsidP="009E5DB6">
            <w:pPr>
              <w:pStyle w:val="BodyText"/>
              <w:numPr>
                <w:ilvl w:val="1"/>
                <w:numId w:val="28"/>
              </w:numPr>
            </w:pPr>
            <w:r>
              <w:t xml:space="preserve">GP </w:t>
            </w:r>
          </w:p>
          <w:p w14:paraId="592D09EB" w14:textId="77777777" w:rsidR="000738A5" w:rsidRDefault="000738A5" w:rsidP="009E5DB6">
            <w:pPr>
              <w:pStyle w:val="BodyText"/>
              <w:numPr>
                <w:ilvl w:val="1"/>
                <w:numId w:val="28"/>
              </w:numPr>
            </w:pPr>
            <w:r>
              <w:t xml:space="preserve">Specialist </w:t>
            </w:r>
          </w:p>
          <w:p w14:paraId="2FE25BD5" w14:textId="77777777" w:rsidR="000738A5" w:rsidRPr="00AB05EE" w:rsidRDefault="000738A5" w:rsidP="009E5DB6">
            <w:pPr>
              <w:pStyle w:val="BodyText"/>
              <w:numPr>
                <w:ilvl w:val="1"/>
                <w:numId w:val="28"/>
              </w:numPr>
            </w:pPr>
            <w:r>
              <w:t>Other</w:t>
            </w:r>
            <w:r w:rsidRPr="00287AAC">
              <w:t xml:space="preserve"> </w:t>
            </w:r>
          </w:p>
          <w:p w14:paraId="19E9BD98" w14:textId="77777777" w:rsidR="000738A5" w:rsidRDefault="000738A5" w:rsidP="009E5DB6">
            <w:pPr>
              <w:pStyle w:val="BodyText"/>
              <w:numPr>
                <w:ilvl w:val="0"/>
                <w:numId w:val="28"/>
              </w:numPr>
              <w:rPr>
                <w:lang w:val="en-GB" w:eastAsia="en-GB"/>
              </w:rPr>
            </w:pPr>
            <w:r>
              <w:rPr>
                <w:lang w:val="en-GB" w:eastAsia="en-GB"/>
              </w:rPr>
              <w:t>emergency department visits</w:t>
            </w:r>
          </w:p>
          <w:p w14:paraId="371B2113" w14:textId="77777777" w:rsidR="000738A5" w:rsidRDefault="000738A5" w:rsidP="009E5DB6">
            <w:pPr>
              <w:pStyle w:val="BodyText"/>
              <w:numPr>
                <w:ilvl w:val="0"/>
                <w:numId w:val="28"/>
              </w:numPr>
              <w:rPr>
                <w:lang w:val="en-GB" w:eastAsia="en-GB"/>
              </w:rPr>
            </w:pPr>
            <w:r>
              <w:t>hospitalizations</w:t>
            </w:r>
          </w:p>
          <w:p w14:paraId="26D099DD" w14:textId="77777777" w:rsidR="000738A5" w:rsidRDefault="000738A5" w:rsidP="009E5DB6">
            <w:pPr>
              <w:pStyle w:val="BodyText"/>
              <w:numPr>
                <w:ilvl w:val="0"/>
                <w:numId w:val="28"/>
              </w:numPr>
              <w:rPr>
                <w:lang w:val="en-GB" w:eastAsia="en-GB"/>
              </w:rPr>
            </w:pPr>
            <w:r>
              <w:rPr>
                <w:lang w:val="en-GB" w:eastAsia="en-GB"/>
              </w:rPr>
              <w:t>long term care</w:t>
            </w:r>
          </w:p>
          <w:p w14:paraId="2BAB8376" w14:textId="77777777" w:rsidR="000738A5" w:rsidRDefault="000738A5" w:rsidP="009E5DB6">
            <w:pPr>
              <w:pStyle w:val="BodyText"/>
              <w:numPr>
                <w:ilvl w:val="0"/>
                <w:numId w:val="28"/>
              </w:numPr>
              <w:rPr>
                <w:lang w:val="en-GB" w:eastAsia="en-GB"/>
              </w:rPr>
            </w:pPr>
            <w:r>
              <w:rPr>
                <w:lang w:val="en-GB" w:eastAsia="en-GB"/>
              </w:rPr>
              <w:t>same day surgeries</w:t>
            </w:r>
          </w:p>
          <w:p w14:paraId="6DDF06FA" w14:textId="77777777" w:rsidR="000738A5" w:rsidRDefault="000738A5" w:rsidP="009E5DB6">
            <w:pPr>
              <w:pStyle w:val="BodyText"/>
              <w:numPr>
                <w:ilvl w:val="0"/>
                <w:numId w:val="28"/>
              </w:numPr>
              <w:rPr>
                <w:lang w:val="en-GB" w:eastAsia="en-GB"/>
              </w:rPr>
            </w:pPr>
            <w:r w:rsidRPr="00B65A1A">
              <w:rPr>
                <w:lang w:val="en-GB" w:eastAsia="en-GB"/>
              </w:rPr>
              <w:t>rehabilitation services</w:t>
            </w:r>
          </w:p>
          <w:p w14:paraId="201B9F1B" w14:textId="77777777" w:rsidR="000738A5" w:rsidRDefault="000738A5" w:rsidP="009E5DB6">
            <w:pPr>
              <w:pStyle w:val="BodyText"/>
              <w:numPr>
                <w:ilvl w:val="0"/>
                <w:numId w:val="28"/>
              </w:numPr>
              <w:rPr>
                <w:lang w:val="en-GB" w:eastAsia="en-GB"/>
              </w:rPr>
            </w:pPr>
            <w:r>
              <w:rPr>
                <w:lang w:val="en-GB" w:eastAsia="en-GB"/>
              </w:rPr>
              <w:t>d</w:t>
            </w:r>
            <w:r w:rsidRPr="001C6287">
              <w:rPr>
                <w:lang w:val="en-GB" w:eastAsia="en-GB"/>
              </w:rPr>
              <w:t>ialysis clinics</w:t>
            </w:r>
            <w:r>
              <w:rPr>
                <w:lang w:val="en-GB" w:eastAsia="en-GB"/>
              </w:rPr>
              <w:t xml:space="preserve"> </w:t>
            </w:r>
          </w:p>
          <w:p w14:paraId="5EB39311" w14:textId="77777777" w:rsidR="000738A5" w:rsidRDefault="000738A5" w:rsidP="009E5DB6">
            <w:pPr>
              <w:pStyle w:val="BodyText"/>
              <w:numPr>
                <w:ilvl w:val="0"/>
                <w:numId w:val="28"/>
              </w:numPr>
              <w:rPr>
                <w:lang w:val="en-GB" w:eastAsia="en-GB"/>
              </w:rPr>
            </w:pPr>
            <w:r>
              <w:rPr>
                <w:lang w:val="en-GB" w:eastAsia="en-GB"/>
              </w:rPr>
              <w:t xml:space="preserve">cancer clinics </w:t>
            </w:r>
          </w:p>
          <w:p w14:paraId="2A1DDF39" w14:textId="77777777" w:rsidR="000738A5" w:rsidRDefault="000738A5" w:rsidP="009E5DB6">
            <w:pPr>
              <w:pStyle w:val="BodyText"/>
              <w:numPr>
                <w:ilvl w:val="0"/>
                <w:numId w:val="28"/>
              </w:numPr>
              <w:rPr>
                <w:lang w:val="en-GB" w:eastAsia="en-GB"/>
              </w:rPr>
            </w:pPr>
            <w:r w:rsidRPr="00F06C6D">
              <w:rPr>
                <w:lang w:val="en-GB" w:eastAsia="en-GB"/>
              </w:rPr>
              <w:t xml:space="preserve">outpatient visits </w:t>
            </w:r>
          </w:p>
          <w:p w14:paraId="570964B3" w14:textId="77777777" w:rsidR="000738A5" w:rsidRPr="003D4997" w:rsidRDefault="000738A5" w:rsidP="009E5DB6">
            <w:pPr>
              <w:pStyle w:val="BodyText"/>
              <w:numPr>
                <w:ilvl w:val="0"/>
                <w:numId w:val="28"/>
              </w:numPr>
              <w:rPr>
                <w:lang w:val="en-GB" w:eastAsia="en-GB"/>
              </w:rPr>
            </w:pPr>
            <w:r w:rsidRPr="00F06C6D">
              <w:rPr>
                <w:lang w:val="en-GB" w:eastAsia="en-GB"/>
              </w:rPr>
              <w:t>mental health</w:t>
            </w:r>
            <w:r>
              <w:rPr>
                <w:lang w:val="en-GB" w:eastAsia="en-GB"/>
              </w:rPr>
              <w:t xml:space="preserve"> </w:t>
            </w:r>
          </w:p>
          <w:p w14:paraId="1E68FC73" w14:textId="77777777" w:rsidR="000738A5" w:rsidRDefault="000738A5" w:rsidP="009E5DB6">
            <w:pPr>
              <w:pStyle w:val="BodyText"/>
              <w:numPr>
                <w:ilvl w:val="0"/>
                <w:numId w:val="28"/>
              </w:numPr>
              <w:rPr>
                <w:lang w:val="en-GB" w:eastAsia="en-GB"/>
              </w:rPr>
            </w:pPr>
            <w:r w:rsidRPr="00B65A1A">
              <w:rPr>
                <w:lang w:val="en-GB" w:eastAsia="en-GB"/>
              </w:rPr>
              <w:t xml:space="preserve">total visits </w:t>
            </w:r>
            <w:r>
              <w:rPr>
                <w:lang w:val="en-GB" w:eastAsia="en-GB"/>
              </w:rPr>
              <w:t>(</w:t>
            </w:r>
            <w:r w:rsidRPr="00B65A1A">
              <w:rPr>
                <w:lang w:val="en-GB" w:eastAsia="en-GB"/>
              </w:rPr>
              <w:t xml:space="preserve">to any </w:t>
            </w:r>
            <w:r>
              <w:rPr>
                <w:lang w:val="en-GB" w:eastAsia="en-GB"/>
              </w:rPr>
              <w:t>healthcare touchpoint detailed above)</w:t>
            </w:r>
          </w:p>
          <w:p w14:paraId="525853D1" w14:textId="1C78E9D8" w:rsidR="000738A5" w:rsidRDefault="000738A5" w:rsidP="002619EF">
            <w:pPr>
              <w:pStyle w:val="ListBullet2"/>
              <w:numPr>
                <w:ilvl w:val="0"/>
                <w:numId w:val="0"/>
              </w:numPr>
            </w:pPr>
          </w:p>
        </w:tc>
      </w:tr>
      <w:tr w:rsidR="00B34613" w:rsidRPr="002F6DB4" w14:paraId="48F411B9" w14:textId="77777777" w:rsidTr="00640E23">
        <w:trPr>
          <w:cantSplit/>
        </w:trPr>
        <w:tc>
          <w:tcPr>
            <w:tcW w:w="1655" w:type="pct"/>
            <w:tcBorders>
              <w:top w:val="single" w:sz="4" w:space="0" w:color="999999"/>
              <w:bottom w:val="single" w:sz="4" w:space="0" w:color="999999"/>
              <w:right w:val="single" w:sz="4" w:space="0" w:color="999999"/>
            </w:tcBorders>
            <w:noWrap/>
            <w:tcMar>
              <w:top w:w="15" w:type="dxa"/>
              <w:left w:w="15" w:type="dxa"/>
              <w:bottom w:w="0" w:type="dxa"/>
              <w:right w:w="15" w:type="dxa"/>
            </w:tcMar>
          </w:tcPr>
          <w:p w14:paraId="51CABFCA" w14:textId="77777777" w:rsidR="00B34613" w:rsidRDefault="00B34613" w:rsidP="002619EF">
            <w:pPr>
              <w:pStyle w:val="ListBullet2"/>
              <w:numPr>
                <w:ilvl w:val="0"/>
                <w:numId w:val="0"/>
              </w:numPr>
            </w:pPr>
            <w:r>
              <w:rPr>
                <w:b/>
              </w:rPr>
              <w:tab/>
              <w:t>Dependent variable</w:t>
            </w:r>
          </w:p>
        </w:tc>
        <w:tc>
          <w:tcPr>
            <w:tcW w:w="3345" w:type="pct"/>
            <w:gridSpan w:val="2"/>
            <w:tcBorders>
              <w:top w:val="single" w:sz="4" w:space="0" w:color="999999"/>
              <w:left w:val="single" w:sz="4" w:space="0" w:color="999999"/>
              <w:bottom w:val="single" w:sz="4" w:space="0" w:color="999999"/>
            </w:tcBorders>
          </w:tcPr>
          <w:p w14:paraId="7B60AD4F" w14:textId="7B2F403D" w:rsidR="000738A5" w:rsidRPr="000738A5" w:rsidRDefault="000738A5" w:rsidP="000738A5">
            <w:pPr>
              <w:pStyle w:val="BodyText"/>
              <w:rPr>
                <w:lang w:eastAsia="en-GB"/>
              </w:rPr>
            </w:pPr>
            <w:r>
              <w:rPr>
                <w:lang w:eastAsia="en-GB"/>
              </w:rPr>
              <w:t>Separate models for:</w:t>
            </w:r>
          </w:p>
          <w:p w14:paraId="588E6910" w14:textId="21CAC7D3" w:rsidR="000738A5" w:rsidRDefault="000738A5" w:rsidP="009E5DB6">
            <w:pPr>
              <w:pStyle w:val="BodyText"/>
              <w:numPr>
                <w:ilvl w:val="0"/>
                <w:numId w:val="26"/>
              </w:numPr>
              <w:rPr>
                <w:lang w:eastAsia="en-GB"/>
              </w:rPr>
            </w:pPr>
            <w:r w:rsidRPr="005C3109">
              <w:rPr>
                <w:lang w:val="en-GB" w:eastAsia="en-GB"/>
              </w:rPr>
              <w:t xml:space="preserve">adult </w:t>
            </w:r>
            <w:r>
              <w:rPr>
                <w:lang w:val="en-GB" w:eastAsia="en-GB"/>
              </w:rPr>
              <w:t xml:space="preserve">incident </w:t>
            </w:r>
            <w:r w:rsidRPr="005C3109">
              <w:rPr>
                <w:lang w:val="en-GB" w:eastAsia="en-GB"/>
              </w:rPr>
              <w:t xml:space="preserve">chronic </w:t>
            </w:r>
            <w:r>
              <w:rPr>
                <w:lang w:eastAsia="en-GB"/>
              </w:rPr>
              <w:t>h</w:t>
            </w:r>
            <w:r w:rsidRPr="00C329C4">
              <w:rPr>
                <w:lang w:eastAsia="en-GB"/>
              </w:rPr>
              <w:t>ypoparathyroidism</w:t>
            </w:r>
            <w:r>
              <w:rPr>
                <w:lang w:eastAsia="en-GB"/>
              </w:rPr>
              <w:t xml:space="preserve"> patients and their matched </w:t>
            </w:r>
            <w:proofErr w:type="gramStart"/>
            <w:r>
              <w:rPr>
                <w:lang w:eastAsia="en-GB"/>
              </w:rPr>
              <w:t>controls;</w:t>
            </w:r>
            <w:proofErr w:type="gramEnd"/>
          </w:p>
          <w:p w14:paraId="6A2C84EB" w14:textId="40A979A5" w:rsidR="00B34613" w:rsidRPr="000738A5" w:rsidRDefault="000738A5" w:rsidP="009E5DB6">
            <w:pPr>
              <w:pStyle w:val="BodyText"/>
              <w:numPr>
                <w:ilvl w:val="0"/>
                <w:numId w:val="26"/>
              </w:numPr>
              <w:rPr>
                <w:lang w:val="en-GB" w:eastAsia="fr-FR"/>
              </w:rPr>
            </w:pPr>
            <w:r w:rsidRPr="005C3109">
              <w:rPr>
                <w:lang w:val="en-GB" w:eastAsia="en-GB"/>
              </w:rPr>
              <w:t xml:space="preserve">adult </w:t>
            </w:r>
            <w:r>
              <w:rPr>
                <w:lang w:val="en-GB" w:eastAsia="en-GB"/>
              </w:rPr>
              <w:t xml:space="preserve">incident </w:t>
            </w:r>
            <w:r w:rsidRPr="005C3109">
              <w:rPr>
                <w:lang w:val="en-GB" w:eastAsia="en-GB"/>
              </w:rPr>
              <w:t>poorly</w:t>
            </w:r>
            <w:r>
              <w:rPr>
                <w:lang w:val="en-GB" w:eastAsia="en-GB"/>
              </w:rPr>
              <w:t xml:space="preserve"> controlled </w:t>
            </w:r>
            <w:r>
              <w:rPr>
                <w:lang w:eastAsia="en-GB"/>
              </w:rPr>
              <w:t>patients and their matched controls</w:t>
            </w:r>
          </w:p>
        </w:tc>
      </w:tr>
      <w:tr w:rsidR="00B34613" w:rsidRPr="002F6DB4" w14:paraId="614DD784" w14:textId="77777777" w:rsidTr="00640E23">
        <w:trPr>
          <w:cantSplit/>
        </w:trPr>
        <w:tc>
          <w:tcPr>
            <w:tcW w:w="1655" w:type="pct"/>
            <w:tcBorders>
              <w:top w:val="single" w:sz="4" w:space="0" w:color="999999"/>
              <w:bottom w:val="single" w:sz="4" w:space="0" w:color="999999"/>
              <w:right w:val="single" w:sz="4" w:space="0" w:color="999999"/>
            </w:tcBorders>
            <w:noWrap/>
            <w:tcMar>
              <w:top w:w="15" w:type="dxa"/>
              <w:left w:w="15" w:type="dxa"/>
              <w:bottom w:w="0" w:type="dxa"/>
              <w:right w:w="15" w:type="dxa"/>
            </w:tcMar>
          </w:tcPr>
          <w:p w14:paraId="5658C4B1" w14:textId="77777777" w:rsidR="00B34613" w:rsidRDefault="00B34613" w:rsidP="002619EF">
            <w:pPr>
              <w:pStyle w:val="ListBullet2"/>
              <w:numPr>
                <w:ilvl w:val="0"/>
                <w:numId w:val="0"/>
              </w:numPr>
            </w:pPr>
            <w:r>
              <w:rPr>
                <w:b/>
              </w:rPr>
              <w:tab/>
              <w:t>Covariates</w:t>
            </w:r>
          </w:p>
        </w:tc>
        <w:tc>
          <w:tcPr>
            <w:tcW w:w="3345" w:type="pct"/>
            <w:gridSpan w:val="2"/>
            <w:tcBorders>
              <w:top w:val="single" w:sz="4" w:space="0" w:color="999999"/>
              <w:left w:val="single" w:sz="4" w:space="0" w:color="999999"/>
              <w:bottom w:val="single" w:sz="4" w:space="0" w:color="999999"/>
            </w:tcBorders>
          </w:tcPr>
          <w:p w14:paraId="267E9604" w14:textId="77777777" w:rsidR="00B34613" w:rsidRDefault="00B34613" w:rsidP="002619EF">
            <w:pPr>
              <w:pStyle w:val="ListBullet2"/>
              <w:numPr>
                <w:ilvl w:val="0"/>
                <w:numId w:val="0"/>
              </w:numPr>
            </w:pPr>
          </w:p>
        </w:tc>
      </w:tr>
      <w:tr w:rsidR="00B34613" w:rsidRPr="002F6DB4" w14:paraId="177AC452" w14:textId="77777777" w:rsidTr="00640E23">
        <w:trPr>
          <w:cantSplit/>
        </w:trPr>
        <w:tc>
          <w:tcPr>
            <w:tcW w:w="1655" w:type="pct"/>
            <w:tcBorders>
              <w:top w:val="single" w:sz="4" w:space="0" w:color="999999"/>
              <w:bottom w:val="single" w:sz="4" w:space="0" w:color="999999"/>
              <w:right w:val="single" w:sz="4" w:space="0" w:color="999999"/>
            </w:tcBorders>
            <w:noWrap/>
            <w:tcMar>
              <w:top w:w="15" w:type="dxa"/>
              <w:left w:w="15" w:type="dxa"/>
              <w:bottom w:w="0" w:type="dxa"/>
              <w:right w:w="15" w:type="dxa"/>
            </w:tcMar>
          </w:tcPr>
          <w:p w14:paraId="0251C869" w14:textId="77777777" w:rsidR="00B34613" w:rsidRDefault="00B34613" w:rsidP="002619EF">
            <w:pPr>
              <w:pStyle w:val="ListBullet2"/>
              <w:numPr>
                <w:ilvl w:val="0"/>
                <w:numId w:val="0"/>
              </w:numPr>
              <w:rPr>
                <w:b/>
              </w:rPr>
            </w:pPr>
            <w:r>
              <w:rPr>
                <w:b/>
              </w:rPr>
              <w:t>Sensitivity Analyses</w:t>
            </w:r>
          </w:p>
        </w:tc>
        <w:tc>
          <w:tcPr>
            <w:tcW w:w="3345" w:type="pct"/>
            <w:gridSpan w:val="2"/>
            <w:tcBorders>
              <w:top w:val="single" w:sz="4" w:space="0" w:color="999999"/>
              <w:left w:val="single" w:sz="4" w:space="0" w:color="999999"/>
              <w:bottom w:val="single" w:sz="4" w:space="0" w:color="999999"/>
            </w:tcBorders>
          </w:tcPr>
          <w:p w14:paraId="16821560" w14:textId="77777777" w:rsidR="00B34613" w:rsidRDefault="00B34613" w:rsidP="002619EF">
            <w:pPr>
              <w:pStyle w:val="ListBullet2"/>
              <w:numPr>
                <w:ilvl w:val="0"/>
                <w:numId w:val="0"/>
              </w:numPr>
            </w:pPr>
          </w:p>
        </w:tc>
      </w:tr>
      <w:tr w:rsidR="00B34613" w:rsidRPr="002F6DB4" w14:paraId="7B024FDE" w14:textId="77777777" w:rsidTr="00640E23">
        <w:trPr>
          <w:cantSplit/>
        </w:trPr>
        <w:tc>
          <w:tcPr>
            <w:tcW w:w="1655" w:type="pct"/>
            <w:tcBorders>
              <w:top w:val="single" w:sz="4" w:space="0" w:color="999999"/>
              <w:bottom w:val="single" w:sz="4" w:space="0" w:color="999999"/>
              <w:right w:val="single" w:sz="4" w:space="0" w:color="999999"/>
            </w:tcBorders>
            <w:noWrap/>
            <w:tcMar>
              <w:top w:w="15" w:type="dxa"/>
              <w:left w:w="15" w:type="dxa"/>
              <w:bottom w:w="0" w:type="dxa"/>
              <w:right w:w="15" w:type="dxa"/>
            </w:tcMar>
          </w:tcPr>
          <w:p w14:paraId="5BCA29FF" w14:textId="77777777" w:rsidR="00B34613" w:rsidRDefault="00B34613" w:rsidP="002619EF">
            <w:pPr>
              <w:pStyle w:val="ListBullet2"/>
              <w:numPr>
                <w:ilvl w:val="0"/>
                <w:numId w:val="0"/>
              </w:numPr>
            </w:pPr>
            <w:r>
              <w:rPr>
                <w:b/>
              </w:rPr>
              <w:tab/>
              <w:t>Type of model</w:t>
            </w:r>
          </w:p>
        </w:tc>
        <w:tc>
          <w:tcPr>
            <w:tcW w:w="3345" w:type="pct"/>
            <w:gridSpan w:val="2"/>
            <w:tcBorders>
              <w:top w:val="single" w:sz="4" w:space="0" w:color="999999"/>
              <w:left w:val="single" w:sz="4" w:space="0" w:color="999999"/>
              <w:bottom w:val="single" w:sz="4" w:space="0" w:color="999999"/>
            </w:tcBorders>
          </w:tcPr>
          <w:p w14:paraId="75B9FBEB" w14:textId="77777777" w:rsidR="00B34613" w:rsidRDefault="00B34613" w:rsidP="002619EF">
            <w:pPr>
              <w:pStyle w:val="ListBullet2"/>
              <w:numPr>
                <w:ilvl w:val="0"/>
                <w:numId w:val="0"/>
              </w:numPr>
            </w:pPr>
          </w:p>
        </w:tc>
      </w:tr>
      <w:tr w:rsidR="00B34613" w:rsidRPr="002F6DB4" w14:paraId="253506E8" w14:textId="77777777" w:rsidTr="00640E23">
        <w:trPr>
          <w:cantSplit/>
        </w:trPr>
        <w:tc>
          <w:tcPr>
            <w:tcW w:w="1655" w:type="pct"/>
            <w:tcBorders>
              <w:top w:val="single" w:sz="4" w:space="0" w:color="999999"/>
              <w:bottom w:val="single" w:sz="4" w:space="0" w:color="999999"/>
              <w:right w:val="single" w:sz="4" w:space="0" w:color="999999"/>
            </w:tcBorders>
            <w:noWrap/>
            <w:tcMar>
              <w:top w:w="15" w:type="dxa"/>
              <w:left w:w="15" w:type="dxa"/>
              <w:bottom w:w="0" w:type="dxa"/>
              <w:right w:w="15" w:type="dxa"/>
            </w:tcMar>
          </w:tcPr>
          <w:p w14:paraId="22BEEE43" w14:textId="77777777" w:rsidR="00B34613" w:rsidRDefault="00B34613" w:rsidP="002619EF">
            <w:pPr>
              <w:pStyle w:val="ListBullet2"/>
              <w:numPr>
                <w:ilvl w:val="0"/>
                <w:numId w:val="0"/>
              </w:numPr>
            </w:pPr>
            <w:r>
              <w:rPr>
                <w:b/>
              </w:rPr>
              <w:tab/>
              <w:t>Primary independent variable</w:t>
            </w:r>
          </w:p>
        </w:tc>
        <w:tc>
          <w:tcPr>
            <w:tcW w:w="3345" w:type="pct"/>
            <w:gridSpan w:val="2"/>
            <w:tcBorders>
              <w:top w:val="single" w:sz="4" w:space="0" w:color="999999"/>
              <w:left w:val="single" w:sz="4" w:space="0" w:color="999999"/>
              <w:bottom w:val="single" w:sz="4" w:space="0" w:color="999999"/>
            </w:tcBorders>
          </w:tcPr>
          <w:p w14:paraId="11C74880" w14:textId="77777777" w:rsidR="00B34613" w:rsidRDefault="00B34613" w:rsidP="002619EF">
            <w:pPr>
              <w:pStyle w:val="ListBullet2"/>
              <w:numPr>
                <w:ilvl w:val="0"/>
                <w:numId w:val="0"/>
              </w:numPr>
            </w:pPr>
          </w:p>
        </w:tc>
      </w:tr>
      <w:tr w:rsidR="00B34613" w:rsidRPr="002F6DB4" w14:paraId="69D6E52B" w14:textId="77777777" w:rsidTr="00640E23">
        <w:trPr>
          <w:cantSplit/>
        </w:trPr>
        <w:tc>
          <w:tcPr>
            <w:tcW w:w="1655" w:type="pct"/>
            <w:tcBorders>
              <w:top w:val="single" w:sz="4" w:space="0" w:color="999999"/>
              <w:bottom w:val="single" w:sz="4" w:space="0" w:color="999999"/>
              <w:right w:val="single" w:sz="4" w:space="0" w:color="999999"/>
            </w:tcBorders>
            <w:noWrap/>
            <w:tcMar>
              <w:top w:w="15" w:type="dxa"/>
              <w:left w:w="15" w:type="dxa"/>
              <w:bottom w:w="0" w:type="dxa"/>
              <w:right w:w="15" w:type="dxa"/>
            </w:tcMar>
          </w:tcPr>
          <w:p w14:paraId="7E56B2CB" w14:textId="77777777" w:rsidR="00B34613" w:rsidRDefault="00B34613" w:rsidP="002619EF">
            <w:pPr>
              <w:pStyle w:val="ListBullet2"/>
              <w:numPr>
                <w:ilvl w:val="0"/>
                <w:numId w:val="0"/>
              </w:numPr>
            </w:pPr>
            <w:r>
              <w:rPr>
                <w:b/>
              </w:rPr>
              <w:tab/>
              <w:t>Dependent variable</w:t>
            </w:r>
          </w:p>
        </w:tc>
        <w:tc>
          <w:tcPr>
            <w:tcW w:w="3345" w:type="pct"/>
            <w:gridSpan w:val="2"/>
            <w:tcBorders>
              <w:top w:val="single" w:sz="4" w:space="0" w:color="999999"/>
              <w:left w:val="single" w:sz="4" w:space="0" w:color="999999"/>
              <w:bottom w:val="single" w:sz="4" w:space="0" w:color="999999"/>
            </w:tcBorders>
          </w:tcPr>
          <w:p w14:paraId="5F15FEA5" w14:textId="77777777" w:rsidR="00B34613" w:rsidRDefault="00B34613" w:rsidP="002619EF">
            <w:pPr>
              <w:pStyle w:val="ListBullet2"/>
              <w:numPr>
                <w:ilvl w:val="0"/>
                <w:numId w:val="0"/>
              </w:numPr>
            </w:pPr>
          </w:p>
        </w:tc>
      </w:tr>
      <w:tr w:rsidR="00B34613" w:rsidRPr="002F6DB4" w14:paraId="16AB5B68" w14:textId="77777777" w:rsidTr="00640E23">
        <w:trPr>
          <w:cantSplit/>
        </w:trPr>
        <w:tc>
          <w:tcPr>
            <w:tcW w:w="1655" w:type="pct"/>
            <w:tcBorders>
              <w:top w:val="single" w:sz="4" w:space="0" w:color="999999"/>
              <w:bottom w:val="single" w:sz="4" w:space="0" w:color="999999"/>
              <w:right w:val="single" w:sz="4" w:space="0" w:color="999999"/>
            </w:tcBorders>
            <w:noWrap/>
            <w:tcMar>
              <w:top w:w="15" w:type="dxa"/>
              <w:left w:w="15" w:type="dxa"/>
              <w:bottom w:w="0" w:type="dxa"/>
              <w:right w:w="15" w:type="dxa"/>
            </w:tcMar>
          </w:tcPr>
          <w:p w14:paraId="74228BAB" w14:textId="77777777" w:rsidR="00B34613" w:rsidRDefault="00B34613" w:rsidP="002619EF">
            <w:pPr>
              <w:pStyle w:val="ListBullet2"/>
              <w:numPr>
                <w:ilvl w:val="0"/>
                <w:numId w:val="0"/>
              </w:numPr>
            </w:pPr>
            <w:r>
              <w:rPr>
                <w:b/>
              </w:rPr>
              <w:tab/>
              <w:t>Covariates</w:t>
            </w:r>
          </w:p>
        </w:tc>
        <w:tc>
          <w:tcPr>
            <w:tcW w:w="3345" w:type="pct"/>
            <w:gridSpan w:val="2"/>
            <w:tcBorders>
              <w:top w:val="single" w:sz="4" w:space="0" w:color="999999"/>
              <w:left w:val="single" w:sz="4" w:space="0" w:color="999999"/>
              <w:bottom w:val="single" w:sz="4" w:space="0" w:color="999999"/>
            </w:tcBorders>
          </w:tcPr>
          <w:p w14:paraId="6C551249" w14:textId="77777777" w:rsidR="00B34613" w:rsidRDefault="00B34613" w:rsidP="002619EF">
            <w:pPr>
              <w:pStyle w:val="ListBullet2"/>
              <w:numPr>
                <w:ilvl w:val="0"/>
                <w:numId w:val="0"/>
              </w:numPr>
            </w:pPr>
          </w:p>
        </w:tc>
      </w:tr>
      <w:tr w:rsidR="00544E10" w:rsidRPr="002F6DB4" w14:paraId="6EC9875D" w14:textId="77777777" w:rsidTr="00D62BCC">
        <w:trPr>
          <w:gridAfter w:val="1"/>
          <w:wAfter w:w="8" w:type="pct"/>
        </w:trPr>
        <w:tc>
          <w:tcPr>
            <w:tcW w:w="4992" w:type="pct"/>
            <w:gridSpan w:val="2"/>
            <w:tcBorders>
              <w:top w:val="single" w:sz="4" w:space="0" w:color="999999"/>
              <w:bottom w:val="single" w:sz="12" w:space="0" w:color="auto"/>
            </w:tcBorders>
            <w:noWrap/>
            <w:tcMar>
              <w:top w:w="15" w:type="dxa"/>
              <w:left w:w="15" w:type="dxa"/>
              <w:bottom w:w="0" w:type="dxa"/>
              <w:right w:w="15" w:type="dxa"/>
            </w:tcMar>
          </w:tcPr>
          <w:p w14:paraId="11A47FDA" w14:textId="77777777" w:rsidR="000A0653" w:rsidRPr="0021258D" w:rsidRDefault="000A0653" w:rsidP="00B07A95">
            <w:pPr>
              <w:pStyle w:val="ListBullet2"/>
              <w:numPr>
                <w:ilvl w:val="0"/>
                <w:numId w:val="0"/>
              </w:numPr>
            </w:pPr>
          </w:p>
        </w:tc>
      </w:tr>
    </w:tbl>
    <w:p w14:paraId="1411E4C4" w14:textId="77777777" w:rsidR="00007C82" w:rsidRDefault="00007C82">
      <w:pPr>
        <w:rPr>
          <w:sz w:val="2"/>
        </w:rPr>
      </w:pPr>
    </w:p>
    <w:p w14:paraId="0D81F07F" w14:textId="77777777" w:rsidR="00007C82" w:rsidRDefault="00007C82">
      <w:pPr>
        <w:rPr>
          <w:sz w:val="2"/>
        </w:rPr>
      </w:pPr>
    </w:p>
    <w:p w14:paraId="790C958F" w14:textId="77777777" w:rsidR="00D43E03" w:rsidRDefault="00D43E03"/>
    <w:p w14:paraId="42ACC4F4" w14:textId="77777777" w:rsidR="00D43E03" w:rsidRDefault="00D43E03"/>
    <w:tbl>
      <w:tblPr>
        <w:tblW w:w="5000" w:type="pct"/>
        <w:tblBorders>
          <w:top w:val="single" w:sz="4" w:space="0" w:color="auto"/>
          <w:bottom w:val="single" w:sz="4" w:space="0" w:color="auto"/>
          <w:insideH w:val="single" w:sz="4" w:space="0" w:color="auto"/>
        </w:tblBorders>
        <w:tblCellMar>
          <w:left w:w="0" w:type="dxa"/>
          <w:right w:w="0" w:type="dxa"/>
        </w:tblCellMar>
        <w:tblLook w:val="00A0" w:firstRow="1" w:lastRow="0" w:firstColumn="1" w:lastColumn="0" w:noHBand="0" w:noVBand="0"/>
      </w:tblPr>
      <w:tblGrid>
        <w:gridCol w:w="3163"/>
        <w:gridCol w:w="2238"/>
        <w:gridCol w:w="3044"/>
        <w:gridCol w:w="1635"/>
      </w:tblGrid>
      <w:tr w:rsidR="00007C82" w14:paraId="79514580" w14:textId="77777777" w:rsidTr="00C85FB4">
        <w:trPr>
          <w:trHeight w:val="189"/>
          <w:tblHeader/>
        </w:trPr>
        <w:tc>
          <w:tcPr>
            <w:tcW w:w="5000" w:type="pct"/>
            <w:gridSpan w:val="4"/>
            <w:tcBorders>
              <w:top w:val="double" w:sz="4" w:space="0" w:color="auto"/>
              <w:bottom w:val="double" w:sz="4" w:space="0" w:color="auto"/>
            </w:tcBorders>
            <w:shd w:val="clear" w:color="auto" w:fill="E0E0E0"/>
            <w:noWrap/>
            <w:tcMar>
              <w:top w:w="15" w:type="dxa"/>
              <w:left w:w="15" w:type="dxa"/>
              <w:bottom w:w="0" w:type="dxa"/>
              <w:right w:w="15" w:type="dxa"/>
            </w:tcMar>
            <w:vAlign w:val="center"/>
          </w:tcPr>
          <w:p w14:paraId="75C09CEE" w14:textId="3AAC7F04" w:rsidR="00007C82" w:rsidRDefault="00007C82" w:rsidP="00B07A95">
            <w:pPr>
              <w:pStyle w:val="Heading2"/>
            </w:pPr>
            <w:r>
              <w:t xml:space="preserve">Quality Assurance Activities </w:t>
            </w:r>
          </w:p>
        </w:tc>
      </w:tr>
      <w:tr w:rsidR="00777861" w14:paraId="004850BF" w14:textId="77777777" w:rsidTr="00264CC1">
        <w:tblPrEx>
          <w:tblCellMar>
            <w:right w:w="14" w:type="dxa"/>
          </w:tblCellMar>
        </w:tblPrEx>
        <w:tc>
          <w:tcPr>
            <w:tcW w:w="1521" w:type="pct"/>
            <w:tcBorders>
              <w:top w:val="single" w:sz="4" w:space="0" w:color="999999"/>
              <w:bottom w:val="single" w:sz="4" w:space="0" w:color="999999"/>
              <w:right w:val="single" w:sz="4" w:space="0" w:color="A6A6A6" w:themeColor="background1" w:themeShade="A6"/>
            </w:tcBorders>
            <w:noWrap/>
            <w:tcMar>
              <w:top w:w="15" w:type="dxa"/>
              <w:left w:w="15" w:type="dxa"/>
              <w:bottom w:w="0" w:type="dxa"/>
              <w:right w:w="15" w:type="dxa"/>
            </w:tcMar>
          </w:tcPr>
          <w:p w14:paraId="348CC80B" w14:textId="227F99C9" w:rsidR="00777861" w:rsidRDefault="0010430B" w:rsidP="00250DDA">
            <w:pPr>
              <w:spacing w:before="60"/>
              <w:rPr>
                <w:b/>
              </w:rPr>
            </w:pPr>
            <w:r>
              <w:rPr>
                <w:b/>
              </w:rPr>
              <w:t>RAE</w:t>
            </w:r>
            <w:r w:rsidR="00381569">
              <w:rPr>
                <w:b/>
              </w:rPr>
              <w:t>/DSH</w:t>
            </w:r>
            <w:r w:rsidR="00777861">
              <w:rPr>
                <w:b/>
              </w:rPr>
              <w:t xml:space="preserve"> Directory of SAS Programs</w:t>
            </w:r>
          </w:p>
        </w:tc>
        <w:tc>
          <w:tcPr>
            <w:tcW w:w="3479" w:type="pct"/>
            <w:gridSpan w:val="3"/>
            <w:tcBorders>
              <w:top w:val="single" w:sz="4" w:space="0" w:color="999999"/>
              <w:left w:val="single" w:sz="4" w:space="0" w:color="A6A6A6" w:themeColor="background1" w:themeShade="A6"/>
              <w:bottom w:val="single" w:sz="4" w:space="0" w:color="999999"/>
            </w:tcBorders>
          </w:tcPr>
          <w:p w14:paraId="17E3267D" w14:textId="77130112" w:rsidR="00777861" w:rsidRPr="00BC3C13" w:rsidRDefault="00777861" w:rsidP="00250DDA">
            <w:pPr>
              <w:spacing w:before="60"/>
            </w:pPr>
          </w:p>
        </w:tc>
      </w:tr>
      <w:tr w:rsidR="004E1393" w14:paraId="210F48C8" w14:textId="77777777" w:rsidTr="00264CC1">
        <w:tblPrEx>
          <w:tblCellMar>
            <w:right w:w="14" w:type="dxa"/>
          </w:tblCellMar>
        </w:tblPrEx>
        <w:trPr>
          <w:trHeight w:val="134"/>
        </w:trPr>
        <w:tc>
          <w:tcPr>
            <w:tcW w:w="1521" w:type="pct"/>
            <w:vMerge w:val="restart"/>
            <w:tcBorders>
              <w:top w:val="single" w:sz="4" w:space="0" w:color="999999"/>
              <w:right w:val="single" w:sz="4" w:space="0" w:color="A6A6A6" w:themeColor="background1" w:themeShade="A6"/>
            </w:tcBorders>
            <w:noWrap/>
            <w:tcMar>
              <w:top w:w="15" w:type="dxa"/>
              <w:left w:w="15" w:type="dxa"/>
              <w:bottom w:w="0" w:type="dxa"/>
              <w:right w:w="15" w:type="dxa"/>
            </w:tcMar>
          </w:tcPr>
          <w:p w14:paraId="011BA61E" w14:textId="129F3371" w:rsidR="004E1393" w:rsidRDefault="0010430B" w:rsidP="00393F7D">
            <w:pPr>
              <w:spacing w:before="60"/>
              <w:rPr>
                <w:b/>
              </w:rPr>
            </w:pPr>
            <w:r>
              <w:rPr>
                <w:b/>
              </w:rPr>
              <w:t>RAE</w:t>
            </w:r>
            <w:r w:rsidR="00381569">
              <w:rPr>
                <w:b/>
              </w:rPr>
              <w:t>/DSH</w:t>
            </w:r>
            <w:r w:rsidR="004E1393">
              <w:rPr>
                <w:b/>
              </w:rPr>
              <w:t xml:space="preserve"> Directory of Final Dataset(s)</w:t>
            </w:r>
          </w:p>
        </w:tc>
        <w:tc>
          <w:tcPr>
            <w:tcW w:w="3479" w:type="pct"/>
            <w:gridSpan w:val="3"/>
            <w:tcBorders>
              <w:top w:val="single" w:sz="4" w:space="0" w:color="999999"/>
              <w:left w:val="single" w:sz="4" w:space="0" w:color="A6A6A6" w:themeColor="background1" w:themeShade="A6"/>
              <w:bottom w:val="single" w:sz="4" w:space="0" w:color="999999"/>
            </w:tcBorders>
            <w:shd w:val="pct15" w:color="auto" w:fill="auto"/>
          </w:tcPr>
          <w:p w14:paraId="1CC08732" w14:textId="443976B3" w:rsidR="004E1393" w:rsidRPr="00DE47F8" w:rsidRDefault="004E1393" w:rsidP="004E1393">
            <w:pPr>
              <w:spacing w:before="60"/>
              <w:rPr>
                <w:color w:val="548DD4" w:themeColor="text2" w:themeTint="99"/>
              </w:rPr>
            </w:pPr>
            <w:r w:rsidRPr="00453826">
              <w:rPr>
                <w:i/>
                <w:color w:val="365F91" w:themeColor="accent1" w:themeShade="BF"/>
                <w:sz w:val="16"/>
              </w:rPr>
              <w:t>The</w:t>
            </w:r>
            <w:r>
              <w:t xml:space="preserve"> </w:t>
            </w:r>
            <w:r w:rsidRPr="004E1393">
              <w:rPr>
                <w:i/>
                <w:color w:val="365F91" w:themeColor="accent1" w:themeShade="BF"/>
                <w:sz w:val="16"/>
              </w:rPr>
              <w:t xml:space="preserve">final analytic dataset for each cohort includes all the data required to create the baseline tables and run all the models. It should include all covariates for all models such as patient risk factors, hospital characteristics, physician characteristics, exposure measures (continuous, categorical) and outcomes. It </w:t>
            </w:r>
            <w:r w:rsidRPr="004E1393">
              <w:rPr>
                <w:i/>
                <w:color w:val="365F91" w:themeColor="accent1" w:themeShade="BF"/>
                <w:sz w:val="16"/>
              </w:rPr>
              <w:lastRenderedPageBreak/>
              <w:t>should include covariates that were considered but didn’t make the final cut. This would permit an analyst to easily re-run the models in the future.</w:t>
            </w:r>
          </w:p>
        </w:tc>
      </w:tr>
      <w:tr w:rsidR="004E1393" w14:paraId="27ED3041" w14:textId="77777777" w:rsidTr="00264CC1">
        <w:tblPrEx>
          <w:tblCellMar>
            <w:right w:w="14" w:type="dxa"/>
          </w:tblCellMar>
        </w:tblPrEx>
        <w:trPr>
          <w:trHeight w:val="133"/>
        </w:trPr>
        <w:tc>
          <w:tcPr>
            <w:tcW w:w="1521" w:type="pct"/>
            <w:vMerge/>
            <w:tcBorders>
              <w:bottom w:val="single" w:sz="4" w:space="0" w:color="999999"/>
              <w:right w:val="single" w:sz="4" w:space="0" w:color="A6A6A6" w:themeColor="background1" w:themeShade="A6"/>
            </w:tcBorders>
            <w:noWrap/>
            <w:tcMar>
              <w:top w:w="15" w:type="dxa"/>
              <w:left w:w="15" w:type="dxa"/>
              <w:bottom w:w="0" w:type="dxa"/>
              <w:right w:w="15" w:type="dxa"/>
            </w:tcMar>
          </w:tcPr>
          <w:p w14:paraId="7D0FA878" w14:textId="77777777" w:rsidR="004E1393" w:rsidRDefault="004E1393" w:rsidP="00393F7D">
            <w:pPr>
              <w:spacing w:before="60"/>
              <w:rPr>
                <w:b/>
              </w:rPr>
            </w:pPr>
          </w:p>
        </w:tc>
        <w:tc>
          <w:tcPr>
            <w:tcW w:w="3479" w:type="pct"/>
            <w:gridSpan w:val="3"/>
            <w:tcBorders>
              <w:top w:val="single" w:sz="4" w:space="0" w:color="999999"/>
              <w:left w:val="single" w:sz="4" w:space="0" w:color="A6A6A6" w:themeColor="background1" w:themeShade="A6"/>
              <w:bottom w:val="single" w:sz="4" w:space="0" w:color="999999"/>
            </w:tcBorders>
          </w:tcPr>
          <w:p w14:paraId="5CBF09F0" w14:textId="77777777" w:rsidR="004E1393" w:rsidRPr="00BC3C13" w:rsidRDefault="004E1393" w:rsidP="009F2A6B">
            <w:pPr>
              <w:spacing w:before="60"/>
            </w:pPr>
          </w:p>
        </w:tc>
      </w:tr>
      <w:tr w:rsidR="001D241A" w:rsidRPr="002F6DB4" w14:paraId="79866176" w14:textId="77777777" w:rsidTr="001D241A">
        <w:tc>
          <w:tcPr>
            <w:tcW w:w="5000" w:type="pct"/>
            <w:gridSpan w:val="4"/>
            <w:tcBorders>
              <w:top w:val="single" w:sz="4" w:space="0" w:color="999999"/>
              <w:bottom w:val="single" w:sz="4" w:space="0" w:color="999999"/>
            </w:tcBorders>
            <w:noWrap/>
            <w:tcMar>
              <w:top w:w="15" w:type="dxa"/>
              <w:left w:w="15" w:type="dxa"/>
              <w:bottom w:w="0" w:type="dxa"/>
              <w:right w:w="15" w:type="dxa"/>
            </w:tcMar>
          </w:tcPr>
          <w:p w14:paraId="3DE4470C" w14:textId="0C35B755" w:rsidR="001D241A" w:rsidRPr="0021258D" w:rsidRDefault="0010430B" w:rsidP="00A66F7A">
            <w:pPr>
              <w:pStyle w:val="ListBullet2"/>
              <w:numPr>
                <w:ilvl w:val="0"/>
                <w:numId w:val="0"/>
              </w:numPr>
            </w:pPr>
            <w:r>
              <w:rPr>
                <w:b/>
              </w:rPr>
              <w:t>RAE</w:t>
            </w:r>
            <w:r w:rsidR="00381569">
              <w:rPr>
                <w:b/>
              </w:rPr>
              <w:t>/DSH</w:t>
            </w:r>
            <w:r w:rsidR="001D241A" w:rsidRPr="00310057">
              <w:rPr>
                <w:b/>
              </w:rPr>
              <w:t xml:space="preserve"> README file </w:t>
            </w:r>
            <w:r w:rsidR="001D241A">
              <w:rPr>
                <w:b/>
              </w:rPr>
              <w:t>available</w:t>
            </w:r>
            <w:r w:rsidR="001D241A" w:rsidRPr="00310057">
              <w:rPr>
                <w:b/>
              </w:rPr>
              <w:t>:</w:t>
            </w:r>
            <w:r w:rsidR="001D241A">
              <w:rPr>
                <w:b/>
              </w:rPr>
              <w:tab/>
            </w:r>
            <w:sdt>
              <w:sdtPr>
                <w:id w:val="801425853"/>
                <w14:checkbox>
                  <w14:checked w14:val="0"/>
                  <w14:checkedState w14:val="2612" w14:font="MS Gothic"/>
                  <w14:uncheckedState w14:val="2610" w14:font="MS Gothic"/>
                </w14:checkbox>
              </w:sdtPr>
              <w:sdtEndPr/>
              <w:sdtContent>
                <w:r w:rsidR="001D241A">
                  <w:rPr>
                    <w:rFonts w:ascii="MS Gothic" w:eastAsia="MS Gothic" w:hAnsi="MS Gothic" w:hint="eastAsia"/>
                  </w:rPr>
                  <w:t>☐</w:t>
                </w:r>
              </w:sdtContent>
            </w:sdt>
            <w:r w:rsidR="004E5F87">
              <w:t>Yes</w:t>
            </w:r>
            <w:r w:rsidR="00A66F7A">
              <w:tab/>
            </w:r>
            <w:sdt>
              <w:sdtPr>
                <w:id w:val="53827086"/>
                <w14:checkbox>
                  <w14:checked w14:val="0"/>
                  <w14:checkedState w14:val="2612" w14:font="MS Gothic"/>
                  <w14:uncheckedState w14:val="2610" w14:font="MS Gothic"/>
                </w14:checkbox>
              </w:sdtPr>
              <w:sdtEndPr/>
              <w:sdtContent>
                <w:r w:rsidR="00A66F7A">
                  <w:rPr>
                    <w:rFonts w:ascii="MS Gothic" w:eastAsia="MS Gothic" w:hAnsi="MS Gothic" w:hint="eastAsia"/>
                  </w:rPr>
                  <w:t>☐</w:t>
                </w:r>
              </w:sdtContent>
            </w:sdt>
            <w:r w:rsidR="00A66F7A">
              <w:t>No</w:t>
            </w:r>
          </w:p>
        </w:tc>
      </w:tr>
      <w:tr w:rsidR="00BA4854" w:rsidRPr="002F6DB4" w14:paraId="61A0A490" w14:textId="77777777" w:rsidTr="00264CC1">
        <w:tc>
          <w:tcPr>
            <w:tcW w:w="4133" w:type="pct"/>
            <w:gridSpan w:val="3"/>
            <w:tcBorders>
              <w:top w:val="single" w:sz="4" w:space="0" w:color="999999"/>
              <w:bottom w:val="single" w:sz="4" w:space="0" w:color="999999"/>
            </w:tcBorders>
            <w:noWrap/>
            <w:tcMar>
              <w:top w:w="15" w:type="dxa"/>
              <w:left w:w="15" w:type="dxa"/>
              <w:bottom w:w="0" w:type="dxa"/>
              <w:right w:w="15" w:type="dxa"/>
            </w:tcMar>
          </w:tcPr>
          <w:p w14:paraId="76576E2C" w14:textId="10F67123" w:rsidR="00AC6CDA" w:rsidRPr="00AC6CDA" w:rsidRDefault="00AC6CDA" w:rsidP="005F624B">
            <w:pPr>
              <w:pStyle w:val="ListBullet2"/>
              <w:numPr>
                <w:ilvl w:val="0"/>
                <w:numId w:val="0"/>
              </w:numPr>
              <w:rPr>
                <w:b/>
              </w:rPr>
            </w:pPr>
            <w:r>
              <w:rPr>
                <w:b/>
              </w:rPr>
              <w:t xml:space="preserve">Date </w:t>
            </w:r>
            <w:r w:rsidR="00DC3C1B">
              <w:rPr>
                <w:b/>
              </w:rPr>
              <w:t xml:space="preserve">results of </w:t>
            </w:r>
            <w:r>
              <w:rPr>
                <w:b/>
              </w:rPr>
              <w:t xml:space="preserve">quality assurance tools </w:t>
            </w:r>
            <w:r w:rsidR="00264CC1">
              <w:rPr>
                <w:b/>
              </w:rPr>
              <w:t xml:space="preserve">for final dataset </w:t>
            </w:r>
            <w:r>
              <w:rPr>
                <w:b/>
              </w:rPr>
              <w:t>shared with project team</w:t>
            </w:r>
            <w:r w:rsidR="00874E72">
              <w:rPr>
                <w:b/>
              </w:rPr>
              <w:t xml:space="preserve"> (where </w:t>
            </w:r>
            <w:r w:rsidR="005F624B">
              <w:rPr>
                <w:b/>
              </w:rPr>
              <w:t>applicable</w:t>
            </w:r>
            <w:r w:rsidR="00874E72">
              <w:rPr>
                <w:b/>
              </w:rPr>
              <w:t>)</w:t>
            </w:r>
            <w:r>
              <w:rPr>
                <w:b/>
              </w:rPr>
              <w:t>:</w:t>
            </w:r>
          </w:p>
        </w:tc>
        <w:tc>
          <w:tcPr>
            <w:tcW w:w="867" w:type="pct"/>
            <w:tcBorders>
              <w:top w:val="single" w:sz="4" w:space="0" w:color="999999"/>
              <w:bottom w:val="single" w:sz="4" w:space="0" w:color="999999"/>
            </w:tcBorders>
          </w:tcPr>
          <w:p w14:paraId="132A8799" w14:textId="0EE9B754" w:rsidR="00AC6CDA" w:rsidRDefault="00AC6CDA" w:rsidP="00A81194">
            <w:pPr>
              <w:pStyle w:val="ListBullet2"/>
              <w:numPr>
                <w:ilvl w:val="0"/>
                <w:numId w:val="0"/>
              </w:numPr>
            </w:pPr>
          </w:p>
        </w:tc>
      </w:tr>
      <w:tr w:rsidR="00DC3C1B" w:rsidRPr="002F6DB4" w14:paraId="143836B3" w14:textId="77777777" w:rsidTr="00264CC1">
        <w:tc>
          <w:tcPr>
            <w:tcW w:w="2628" w:type="pct"/>
            <w:gridSpan w:val="2"/>
            <w:tcBorders>
              <w:top w:val="single" w:sz="4" w:space="0" w:color="999999"/>
              <w:bottom w:val="single" w:sz="4" w:space="0" w:color="999999"/>
            </w:tcBorders>
            <w:noWrap/>
            <w:tcMar>
              <w:top w:w="15" w:type="dxa"/>
              <w:left w:w="15" w:type="dxa"/>
              <w:bottom w:w="0" w:type="dxa"/>
              <w:right w:w="15" w:type="dxa"/>
            </w:tcMar>
          </w:tcPr>
          <w:p w14:paraId="474BB5E6" w14:textId="1BFEF50E" w:rsidR="00DC3C1B" w:rsidRDefault="00DC3C1B" w:rsidP="00310057">
            <w:pPr>
              <w:pStyle w:val="ListBullet2"/>
              <w:numPr>
                <w:ilvl w:val="0"/>
                <w:numId w:val="0"/>
              </w:numPr>
              <w:rPr>
                <w:b/>
              </w:rPr>
            </w:pPr>
          </w:p>
        </w:tc>
        <w:tc>
          <w:tcPr>
            <w:tcW w:w="1505" w:type="pct"/>
            <w:tcBorders>
              <w:top w:val="single" w:sz="4" w:space="0" w:color="999999"/>
              <w:bottom w:val="single" w:sz="4" w:space="0" w:color="999999"/>
            </w:tcBorders>
          </w:tcPr>
          <w:p w14:paraId="24FC8A24" w14:textId="6D0DEB38" w:rsidR="00DC3C1B" w:rsidRDefault="00DC3C1B" w:rsidP="00310057">
            <w:pPr>
              <w:pStyle w:val="ListBullet2"/>
              <w:numPr>
                <w:ilvl w:val="0"/>
                <w:numId w:val="0"/>
              </w:numPr>
              <w:rPr>
                <w:b/>
              </w:rPr>
            </w:pPr>
            <w:r>
              <w:rPr>
                <w:b/>
              </w:rPr>
              <w:t>%assign</w:t>
            </w:r>
          </w:p>
        </w:tc>
        <w:tc>
          <w:tcPr>
            <w:tcW w:w="867" w:type="pct"/>
            <w:tcBorders>
              <w:top w:val="single" w:sz="4" w:space="0" w:color="999999"/>
              <w:bottom w:val="single" w:sz="4" w:space="0" w:color="999999"/>
            </w:tcBorders>
          </w:tcPr>
          <w:p w14:paraId="074C4679" w14:textId="17B4FB09" w:rsidR="00DC3C1B" w:rsidRDefault="00DC3C1B" w:rsidP="007F37C0">
            <w:pPr>
              <w:pStyle w:val="ListBullet2"/>
              <w:numPr>
                <w:ilvl w:val="0"/>
                <w:numId w:val="0"/>
              </w:numPr>
            </w:pPr>
            <w:proofErr w:type="spellStart"/>
            <w:r>
              <w:t>yyyy</w:t>
            </w:r>
            <w:proofErr w:type="spellEnd"/>
            <w:r>
              <w:t>-</w:t>
            </w:r>
            <w:r w:rsidR="00801DF7">
              <w:t>mon</w:t>
            </w:r>
            <w:r>
              <w:t>-dd</w:t>
            </w:r>
          </w:p>
        </w:tc>
      </w:tr>
      <w:tr w:rsidR="00DC3C1B" w:rsidRPr="002F6DB4" w14:paraId="55B0610E" w14:textId="77777777" w:rsidTr="00264CC1">
        <w:tc>
          <w:tcPr>
            <w:tcW w:w="2628" w:type="pct"/>
            <w:gridSpan w:val="2"/>
            <w:tcBorders>
              <w:top w:val="single" w:sz="4" w:space="0" w:color="999999"/>
              <w:bottom w:val="single" w:sz="4" w:space="0" w:color="999999"/>
            </w:tcBorders>
            <w:noWrap/>
            <w:tcMar>
              <w:top w:w="15" w:type="dxa"/>
              <w:left w:w="15" w:type="dxa"/>
              <w:bottom w:w="0" w:type="dxa"/>
              <w:right w:w="15" w:type="dxa"/>
            </w:tcMar>
          </w:tcPr>
          <w:p w14:paraId="2D945AC8" w14:textId="77777777" w:rsidR="00DC3C1B" w:rsidRDefault="00DC3C1B" w:rsidP="00AC6CDA">
            <w:pPr>
              <w:pStyle w:val="ListBullet2"/>
              <w:numPr>
                <w:ilvl w:val="0"/>
                <w:numId w:val="0"/>
              </w:numPr>
              <w:rPr>
                <w:b/>
              </w:rPr>
            </w:pPr>
          </w:p>
        </w:tc>
        <w:tc>
          <w:tcPr>
            <w:tcW w:w="1505" w:type="pct"/>
            <w:tcBorders>
              <w:top w:val="single" w:sz="4" w:space="0" w:color="999999"/>
              <w:bottom w:val="single" w:sz="4" w:space="0" w:color="999999"/>
            </w:tcBorders>
          </w:tcPr>
          <w:p w14:paraId="05742196" w14:textId="5AAFDDA8" w:rsidR="00DC3C1B" w:rsidRDefault="00DC3C1B" w:rsidP="00AC6CDA">
            <w:pPr>
              <w:pStyle w:val="ListBullet2"/>
              <w:numPr>
                <w:ilvl w:val="0"/>
                <w:numId w:val="0"/>
              </w:numPr>
              <w:rPr>
                <w:b/>
              </w:rPr>
            </w:pPr>
            <w:r>
              <w:rPr>
                <w:b/>
              </w:rPr>
              <w:t>%evolution</w:t>
            </w:r>
          </w:p>
        </w:tc>
        <w:tc>
          <w:tcPr>
            <w:tcW w:w="867" w:type="pct"/>
            <w:tcBorders>
              <w:top w:val="single" w:sz="4" w:space="0" w:color="999999"/>
              <w:bottom w:val="single" w:sz="4" w:space="0" w:color="999999"/>
            </w:tcBorders>
          </w:tcPr>
          <w:p w14:paraId="53393B9A" w14:textId="38814E91" w:rsidR="00DC3C1B" w:rsidRDefault="00DC3C1B" w:rsidP="007F37C0">
            <w:pPr>
              <w:pStyle w:val="ListBullet2"/>
              <w:numPr>
                <w:ilvl w:val="0"/>
                <w:numId w:val="0"/>
              </w:numPr>
            </w:pPr>
            <w:proofErr w:type="spellStart"/>
            <w:r>
              <w:t>yyyy</w:t>
            </w:r>
            <w:proofErr w:type="spellEnd"/>
            <w:r>
              <w:t>-</w:t>
            </w:r>
            <w:r w:rsidR="00801DF7">
              <w:t>mon</w:t>
            </w:r>
            <w:r>
              <w:t>-dd</w:t>
            </w:r>
          </w:p>
        </w:tc>
      </w:tr>
      <w:tr w:rsidR="00DC3C1B" w:rsidRPr="002F6DB4" w14:paraId="625C40FC" w14:textId="77777777" w:rsidTr="00264CC1">
        <w:tc>
          <w:tcPr>
            <w:tcW w:w="2628" w:type="pct"/>
            <w:gridSpan w:val="2"/>
            <w:tcBorders>
              <w:top w:val="single" w:sz="4" w:space="0" w:color="999999"/>
              <w:bottom w:val="single" w:sz="4" w:space="0" w:color="999999"/>
            </w:tcBorders>
            <w:noWrap/>
            <w:tcMar>
              <w:top w:w="15" w:type="dxa"/>
              <w:left w:w="15" w:type="dxa"/>
              <w:bottom w:w="0" w:type="dxa"/>
              <w:right w:w="15" w:type="dxa"/>
            </w:tcMar>
          </w:tcPr>
          <w:p w14:paraId="1E75AAAF" w14:textId="77777777" w:rsidR="00DC3C1B" w:rsidRDefault="00DC3C1B" w:rsidP="00AC6CDA">
            <w:pPr>
              <w:pStyle w:val="ListBullet2"/>
              <w:numPr>
                <w:ilvl w:val="0"/>
                <w:numId w:val="0"/>
              </w:numPr>
              <w:rPr>
                <w:b/>
              </w:rPr>
            </w:pPr>
          </w:p>
        </w:tc>
        <w:tc>
          <w:tcPr>
            <w:tcW w:w="1505" w:type="pct"/>
            <w:tcBorders>
              <w:top w:val="single" w:sz="4" w:space="0" w:color="999999"/>
              <w:bottom w:val="single" w:sz="4" w:space="0" w:color="999999"/>
            </w:tcBorders>
          </w:tcPr>
          <w:p w14:paraId="2321AB02" w14:textId="0835E3E9" w:rsidR="00DC3C1B" w:rsidRDefault="00DC3C1B" w:rsidP="00AC6CDA">
            <w:pPr>
              <w:pStyle w:val="ListBullet2"/>
              <w:numPr>
                <w:ilvl w:val="0"/>
                <w:numId w:val="0"/>
              </w:numPr>
              <w:rPr>
                <w:b/>
              </w:rPr>
            </w:pPr>
            <w:r>
              <w:rPr>
                <w:b/>
              </w:rPr>
              <w:t>%</w:t>
            </w:r>
            <w:proofErr w:type="spellStart"/>
            <w:r>
              <w:rPr>
                <w:b/>
              </w:rPr>
              <w:t>dinexplore</w:t>
            </w:r>
            <w:proofErr w:type="spellEnd"/>
          </w:p>
        </w:tc>
        <w:tc>
          <w:tcPr>
            <w:tcW w:w="867" w:type="pct"/>
            <w:tcBorders>
              <w:top w:val="single" w:sz="4" w:space="0" w:color="999999"/>
              <w:bottom w:val="single" w:sz="4" w:space="0" w:color="999999"/>
            </w:tcBorders>
          </w:tcPr>
          <w:p w14:paraId="5DAA1E60" w14:textId="7BBDB674" w:rsidR="00DC3C1B" w:rsidRDefault="00DC3C1B" w:rsidP="007F37C0">
            <w:pPr>
              <w:pStyle w:val="ListBullet2"/>
              <w:numPr>
                <w:ilvl w:val="0"/>
                <w:numId w:val="0"/>
              </w:numPr>
            </w:pPr>
            <w:proofErr w:type="spellStart"/>
            <w:r>
              <w:t>yyyy</w:t>
            </w:r>
            <w:proofErr w:type="spellEnd"/>
            <w:r>
              <w:t>-</w:t>
            </w:r>
            <w:r w:rsidR="00801DF7">
              <w:t>mon</w:t>
            </w:r>
            <w:r>
              <w:t>-dd</w:t>
            </w:r>
          </w:p>
        </w:tc>
      </w:tr>
      <w:tr w:rsidR="00DC3C1B" w:rsidRPr="002F6DB4" w14:paraId="3480A7D7" w14:textId="77777777" w:rsidTr="00264CC1">
        <w:tc>
          <w:tcPr>
            <w:tcW w:w="2628" w:type="pct"/>
            <w:gridSpan w:val="2"/>
            <w:tcBorders>
              <w:top w:val="single" w:sz="4" w:space="0" w:color="999999"/>
              <w:bottom w:val="single" w:sz="4" w:space="0" w:color="999999"/>
            </w:tcBorders>
            <w:noWrap/>
            <w:tcMar>
              <w:top w:w="15" w:type="dxa"/>
              <w:left w:w="15" w:type="dxa"/>
              <w:bottom w:w="0" w:type="dxa"/>
              <w:right w:w="15" w:type="dxa"/>
            </w:tcMar>
          </w:tcPr>
          <w:p w14:paraId="66EA129F" w14:textId="77777777" w:rsidR="00DC3C1B" w:rsidRDefault="00DC3C1B" w:rsidP="00AC6CDA">
            <w:pPr>
              <w:pStyle w:val="ListBullet2"/>
              <w:numPr>
                <w:ilvl w:val="0"/>
                <w:numId w:val="0"/>
              </w:numPr>
              <w:rPr>
                <w:b/>
              </w:rPr>
            </w:pPr>
          </w:p>
        </w:tc>
        <w:tc>
          <w:tcPr>
            <w:tcW w:w="1505" w:type="pct"/>
            <w:tcBorders>
              <w:top w:val="single" w:sz="4" w:space="0" w:color="999999"/>
              <w:bottom w:val="single" w:sz="4" w:space="0" w:color="999999"/>
            </w:tcBorders>
          </w:tcPr>
          <w:p w14:paraId="3CD95A85" w14:textId="46B3A02C" w:rsidR="00DC3C1B" w:rsidRDefault="00DC3C1B" w:rsidP="00AC6CDA">
            <w:pPr>
              <w:pStyle w:val="ListBullet2"/>
              <w:numPr>
                <w:ilvl w:val="0"/>
                <w:numId w:val="0"/>
              </w:numPr>
              <w:rPr>
                <w:b/>
              </w:rPr>
            </w:pPr>
            <w:r>
              <w:rPr>
                <w:b/>
              </w:rPr>
              <w:t>%track / %exclude</w:t>
            </w:r>
          </w:p>
        </w:tc>
        <w:tc>
          <w:tcPr>
            <w:tcW w:w="867" w:type="pct"/>
            <w:tcBorders>
              <w:top w:val="single" w:sz="4" w:space="0" w:color="999999"/>
              <w:bottom w:val="single" w:sz="4" w:space="0" w:color="999999"/>
            </w:tcBorders>
          </w:tcPr>
          <w:p w14:paraId="79726459" w14:textId="2CFC83D5" w:rsidR="00DC3C1B" w:rsidRDefault="00BA266E" w:rsidP="007F37C0">
            <w:pPr>
              <w:pStyle w:val="ListBullet2"/>
              <w:numPr>
                <w:ilvl w:val="0"/>
                <w:numId w:val="0"/>
              </w:numPr>
            </w:pPr>
            <w:proofErr w:type="spellStart"/>
            <w:r>
              <w:t>yyyy</w:t>
            </w:r>
            <w:proofErr w:type="spellEnd"/>
            <w:r>
              <w:t>-</w:t>
            </w:r>
            <w:r w:rsidR="007F37C0">
              <w:t>m</w:t>
            </w:r>
            <w:r>
              <w:t>on-</w:t>
            </w:r>
            <w:r w:rsidR="00DC3C1B">
              <w:t>dd</w:t>
            </w:r>
          </w:p>
        </w:tc>
      </w:tr>
      <w:tr w:rsidR="00DC3C1B" w:rsidRPr="002F6DB4" w14:paraId="481ADDCF" w14:textId="77777777" w:rsidTr="00264CC1">
        <w:tc>
          <w:tcPr>
            <w:tcW w:w="2628" w:type="pct"/>
            <w:gridSpan w:val="2"/>
            <w:tcBorders>
              <w:top w:val="single" w:sz="4" w:space="0" w:color="999999"/>
              <w:bottom w:val="single" w:sz="4" w:space="0" w:color="999999"/>
            </w:tcBorders>
            <w:noWrap/>
            <w:tcMar>
              <w:top w:w="15" w:type="dxa"/>
              <w:left w:w="15" w:type="dxa"/>
              <w:bottom w:w="0" w:type="dxa"/>
              <w:right w:w="15" w:type="dxa"/>
            </w:tcMar>
          </w:tcPr>
          <w:p w14:paraId="0016C073" w14:textId="77777777" w:rsidR="00DC3C1B" w:rsidRDefault="00DC3C1B" w:rsidP="00AC6CDA">
            <w:pPr>
              <w:pStyle w:val="ListBullet2"/>
              <w:numPr>
                <w:ilvl w:val="0"/>
                <w:numId w:val="0"/>
              </w:numPr>
              <w:rPr>
                <w:b/>
              </w:rPr>
            </w:pPr>
          </w:p>
        </w:tc>
        <w:tc>
          <w:tcPr>
            <w:tcW w:w="1505" w:type="pct"/>
            <w:tcBorders>
              <w:top w:val="single" w:sz="4" w:space="0" w:color="999999"/>
              <w:bottom w:val="single" w:sz="4" w:space="0" w:color="999999"/>
            </w:tcBorders>
          </w:tcPr>
          <w:p w14:paraId="03E1A6DD" w14:textId="49BC3998" w:rsidR="00DC3C1B" w:rsidRDefault="00DC3C1B" w:rsidP="00AC6CDA">
            <w:pPr>
              <w:pStyle w:val="ListBullet2"/>
              <w:numPr>
                <w:ilvl w:val="0"/>
                <w:numId w:val="0"/>
              </w:numPr>
              <w:rPr>
                <w:b/>
              </w:rPr>
            </w:pPr>
            <w:r>
              <w:rPr>
                <w:b/>
              </w:rPr>
              <w:t>%codebook</w:t>
            </w:r>
          </w:p>
        </w:tc>
        <w:tc>
          <w:tcPr>
            <w:tcW w:w="867" w:type="pct"/>
            <w:tcBorders>
              <w:top w:val="single" w:sz="4" w:space="0" w:color="999999"/>
              <w:bottom w:val="single" w:sz="4" w:space="0" w:color="999999"/>
            </w:tcBorders>
          </w:tcPr>
          <w:p w14:paraId="02CB30C6" w14:textId="6E5A49DC" w:rsidR="00DC3C1B" w:rsidRDefault="00DC3C1B" w:rsidP="007F37C0">
            <w:pPr>
              <w:pStyle w:val="ListBullet2"/>
              <w:numPr>
                <w:ilvl w:val="0"/>
                <w:numId w:val="0"/>
              </w:numPr>
            </w:pPr>
            <w:proofErr w:type="spellStart"/>
            <w:r>
              <w:t>yyyy</w:t>
            </w:r>
            <w:proofErr w:type="spellEnd"/>
            <w:r>
              <w:t>-</w:t>
            </w:r>
            <w:r w:rsidR="00801DF7">
              <w:t>mon</w:t>
            </w:r>
            <w:r>
              <w:t>-dd</w:t>
            </w:r>
          </w:p>
        </w:tc>
      </w:tr>
      <w:tr w:rsidR="00BA4854" w:rsidRPr="002F6DB4" w14:paraId="2634A229" w14:textId="77777777" w:rsidTr="00264CC1">
        <w:tc>
          <w:tcPr>
            <w:tcW w:w="2628" w:type="pct"/>
            <w:gridSpan w:val="2"/>
            <w:tcBorders>
              <w:top w:val="single" w:sz="4" w:space="0" w:color="999999"/>
              <w:bottom w:val="single" w:sz="12" w:space="0" w:color="auto"/>
            </w:tcBorders>
            <w:noWrap/>
            <w:tcMar>
              <w:top w:w="15" w:type="dxa"/>
              <w:left w:w="15" w:type="dxa"/>
              <w:bottom w:w="0" w:type="dxa"/>
              <w:right w:w="15" w:type="dxa"/>
            </w:tcMar>
          </w:tcPr>
          <w:p w14:paraId="31CF9722" w14:textId="4C3DBCA3" w:rsidR="00BA4854" w:rsidRDefault="00BA4854" w:rsidP="00AC6CDA">
            <w:pPr>
              <w:pStyle w:val="ListBullet2"/>
              <w:numPr>
                <w:ilvl w:val="0"/>
                <w:numId w:val="0"/>
              </w:numPr>
              <w:rPr>
                <w:b/>
              </w:rPr>
            </w:pPr>
            <w:r>
              <w:rPr>
                <w:b/>
              </w:rPr>
              <w:t>Additional comments:</w:t>
            </w:r>
          </w:p>
        </w:tc>
        <w:tc>
          <w:tcPr>
            <w:tcW w:w="2372" w:type="pct"/>
            <w:gridSpan w:val="2"/>
            <w:tcBorders>
              <w:top w:val="single" w:sz="4" w:space="0" w:color="999999"/>
              <w:bottom w:val="single" w:sz="12" w:space="0" w:color="auto"/>
            </w:tcBorders>
          </w:tcPr>
          <w:p w14:paraId="217F282A" w14:textId="77777777" w:rsidR="00BA4854" w:rsidRPr="00BC3C13" w:rsidRDefault="00BA4854" w:rsidP="00B07A95">
            <w:pPr>
              <w:pStyle w:val="ListBullet2"/>
              <w:numPr>
                <w:ilvl w:val="0"/>
                <w:numId w:val="0"/>
              </w:numPr>
            </w:pPr>
          </w:p>
        </w:tc>
      </w:tr>
    </w:tbl>
    <w:p w14:paraId="162C6081" w14:textId="77777777" w:rsidR="00D62BCC" w:rsidRDefault="00D62BCC" w:rsidP="00C56D0D">
      <w:pPr>
        <w:rPr>
          <w:b/>
          <w:bCs/>
          <w:sz w:val="24"/>
          <w:szCs w:val="24"/>
          <w:u w:val="single"/>
        </w:rPr>
      </w:pPr>
    </w:p>
    <w:p w14:paraId="5FF49CAB" w14:textId="2661EF77" w:rsidR="00C56D0D" w:rsidRPr="00C56D0D" w:rsidRDefault="00C56D0D" w:rsidP="00C56D0D">
      <w:pPr>
        <w:rPr>
          <w:b/>
          <w:bCs/>
          <w:sz w:val="24"/>
          <w:szCs w:val="24"/>
          <w:u w:val="single"/>
        </w:rPr>
      </w:pPr>
      <w:r w:rsidRPr="00C56D0D">
        <w:rPr>
          <w:b/>
          <w:bCs/>
          <w:sz w:val="24"/>
          <w:szCs w:val="24"/>
          <w:u w:val="single"/>
        </w:rPr>
        <w:t>APPENDIX:</w:t>
      </w:r>
    </w:p>
    <w:p w14:paraId="16224900" w14:textId="3C574105" w:rsidR="00C56D0D" w:rsidRDefault="00C56D0D" w:rsidP="00EA2E25">
      <w:pPr>
        <w:rPr>
          <w:b/>
          <w:bCs/>
          <w:sz w:val="22"/>
          <w:szCs w:val="22"/>
        </w:rPr>
      </w:pPr>
      <w:bookmarkStart w:id="55" w:name="_Toc502165482"/>
    </w:p>
    <w:p w14:paraId="1ACC2EB7" w14:textId="7E1902EA" w:rsidR="00903021" w:rsidRPr="00903021" w:rsidRDefault="00903021" w:rsidP="00903021">
      <w:pPr>
        <w:rPr>
          <w:b/>
          <w:bCs/>
          <w:sz w:val="22"/>
          <w:szCs w:val="22"/>
        </w:rPr>
      </w:pPr>
      <w:bookmarkStart w:id="56" w:name="_Ref483321428"/>
      <w:bookmarkStart w:id="57" w:name="_Toc502165481"/>
      <w:r w:rsidRPr="00903021">
        <w:rPr>
          <w:b/>
          <w:bCs/>
          <w:sz w:val="22"/>
          <w:szCs w:val="22"/>
        </w:rPr>
        <w:t xml:space="preserve">Table </w:t>
      </w:r>
      <w:bookmarkEnd w:id="56"/>
      <w:r>
        <w:rPr>
          <w:b/>
          <w:bCs/>
          <w:sz w:val="22"/>
          <w:szCs w:val="22"/>
        </w:rPr>
        <w:t>1</w:t>
      </w:r>
      <w:r w:rsidRPr="00903021">
        <w:rPr>
          <w:b/>
          <w:bCs/>
          <w:sz w:val="22"/>
          <w:szCs w:val="22"/>
        </w:rPr>
        <w:t>: Hypoparathyroidism diagnoses</w:t>
      </w:r>
      <w:bookmarkEnd w:id="57"/>
    </w:p>
    <w:p w14:paraId="7A66233F" w14:textId="3B631E33" w:rsidR="00C56D0D" w:rsidRDefault="00C56D0D" w:rsidP="00EA2E25">
      <w:pPr>
        <w:rPr>
          <w:b/>
          <w:bCs/>
          <w:sz w:val="22"/>
          <w:szCs w:val="22"/>
        </w:rPr>
      </w:pPr>
    </w:p>
    <w:tbl>
      <w:tblPr>
        <w:tblStyle w:val="LightList-Accent11"/>
        <w:tblW w:w="0" w:type="auto"/>
        <w:tblInd w:w="-10" w:type="dxa"/>
        <w:tblLook w:val="04A0" w:firstRow="1" w:lastRow="0" w:firstColumn="1" w:lastColumn="0" w:noHBand="0" w:noVBand="1"/>
      </w:tblPr>
      <w:tblGrid>
        <w:gridCol w:w="1975"/>
        <w:gridCol w:w="4680"/>
      </w:tblGrid>
      <w:tr w:rsidR="00C56D0D" w:rsidRPr="00C329C4" w14:paraId="22BE40ED" w14:textId="77777777" w:rsidTr="00D966E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975" w:type="dxa"/>
          </w:tcPr>
          <w:p w14:paraId="4219C6B8" w14:textId="77777777" w:rsidR="00C56D0D" w:rsidRPr="00C329C4" w:rsidRDefault="00C56D0D" w:rsidP="00D966E6">
            <w:pPr>
              <w:pStyle w:val="BodyText"/>
              <w:rPr>
                <w:rFonts w:cs="Geneva"/>
                <w:lang w:eastAsia="en-GB"/>
              </w:rPr>
            </w:pPr>
            <w:r>
              <w:rPr>
                <w:lang w:eastAsia="en-GB"/>
              </w:rPr>
              <w:t>ICD-10 code</w:t>
            </w:r>
          </w:p>
        </w:tc>
        <w:tc>
          <w:tcPr>
            <w:tcW w:w="4680" w:type="dxa"/>
          </w:tcPr>
          <w:p w14:paraId="71E96B17" w14:textId="77777777" w:rsidR="00C56D0D" w:rsidRPr="00C329C4" w:rsidRDefault="00C56D0D" w:rsidP="00D966E6">
            <w:pPr>
              <w:pStyle w:val="BodyText"/>
              <w:cnfStyle w:val="100000000000" w:firstRow="1" w:lastRow="0" w:firstColumn="0" w:lastColumn="0" w:oddVBand="0" w:evenVBand="0" w:oddHBand="0" w:evenHBand="0" w:firstRowFirstColumn="0" w:firstRowLastColumn="0" w:lastRowFirstColumn="0" w:lastRowLastColumn="0"/>
              <w:rPr>
                <w:lang w:eastAsia="en-GB"/>
              </w:rPr>
            </w:pPr>
            <w:r>
              <w:rPr>
                <w:lang w:eastAsia="en-GB"/>
              </w:rPr>
              <w:t>Diagnosis</w:t>
            </w:r>
          </w:p>
        </w:tc>
      </w:tr>
      <w:tr w:rsidR="00C56D0D" w:rsidRPr="00D966E6" w14:paraId="32926845" w14:textId="77777777" w:rsidTr="00D966E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975" w:type="dxa"/>
          </w:tcPr>
          <w:p w14:paraId="77CD8967" w14:textId="77777777" w:rsidR="00C56D0D" w:rsidRPr="00C329C4" w:rsidRDefault="00C56D0D" w:rsidP="00D966E6">
            <w:pPr>
              <w:pStyle w:val="BodyText"/>
            </w:pPr>
            <w:r w:rsidRPr="00C329C4">
              <w:t xml:space="preserve">E20.0 </w:t>
            </w:r>
          </w:p>
        </w:tc>
        <w:tc>
          <w:tcPr>
            <w:tcW w:w="4680" w:type="dxa"/>
          </w:tcPr>
          <w:p w14:paraId="231D354C" w14:textId="77777777" w:rsidR="00C56D0D" w:rsidRPr="00C329C4" w:rsidRDefault="00C56D0D" w:rsidP="00D966E6">
            <w:pPr>
              <w:pStyle w:val="BodyText"/>
              <w:cnfStyle w:val="000000100000" w:firstRow="0" w:lastRow="0" w:firstColumn="0" w:lastColumn="0" w:oddVBand="0" w:evenVBand="0" w:oddHBand="1" w:evenHBand="0" w:firstRowFirstColumn="0" w:firstRowLastColumn="0" w:lastRowFirstColumn="0" w:lastRowLastColumn="0"/>
            </w:pPr>
            <w:r w:rsidRPr="00C329C4">
              <w:t>Idiopathic Hypoparathyroidism</w:t>
            </w:r>
          </w:p>
        </w:tc>
      </w:tr>
      <w:tr w:rsidR="00C56D0D" w:rsidRPr="00D966E6" w14:paraId="125FCFD5" w14:textId="77777777" w:rsidTr="00D966E6">
        <w:trPr>
          <w:trHeight w:val="340"/>
        </w:trPr>
        <w:tc>
          <w:tcPr>
            <w:cnfStyle w:val="001000000000" w:firstRow="0" w:lastRow="0" w:firstColumn="1" w:lastColumn="0" w:oddVBand="0" w:evenVBand="0" w:oddHBand="0" w:evenHBand="0" w:firstRowFirstColumn="0" w:firstRowLastColumn="0" w:lastRowFirstColumn="0" w:lastRowLastColumn="0"/>
            <w:tcW w:w="1975" w:type="dxa"/>
          </w:tcPr>
          <w:p w14:paraId="35B6F9BB" w14:textId="77777777" w:rsidR="00C56D0D" w:rsidRPr="00D966E6" w:rsidRDefault="00C56D0D" w:rsidP="00D966E6">
            <w:pPr>
              <w:pStyle w:val="BodyText"/>
            </w:pPr>
            <w:r w:rsidRPr="00C329C4">
              <w:t xml:space="preserve">E20.1 </w:t>
            </w:r>
          </w:p>
        </w:tc>
        <w:tc>
          <w:tcPr>
            <w:tcW w:w="4680" w:type="dxa"/>
          </w:tcPr>
          <w:p w14:paraId="47974C88" w14:textId="77777777" w:rsidR="00C56D0D" w:rsidRPr="00C329C4" w:rsidRDefault="00C56D0D" w:rsidP="00D966E6">
            <w:pPr>
              <w:pStyle w:val="BodyText"/>
              <w:cnfStyle w:val="000000000000" w:firstRow="0" w:lastRow="0" w:firstColumn="0" w:lastColumn="0" w:oddVBand="0" w:evenVBand="0" w:oddHBand="0" w:evenHBand="0" w:firstRowFirstColumn="0" w:firstRowLastColumn="0" w:lastRowFirstColumn="0" w:lastRowLastColumn="0"/>
            </w:pPr>
            <w:r w:rsidRPr="00C329C4">
              <w:t>Pseudohypoparathyroidism</w:t>
            </w:r>
          </w:p>
        </w:tc>
      </w:tr>
      <w:tr w:rsidR="00C56D0D" w:rsidRPr="00D966E6" w14:paraId="289FA3C2" w14:textId="77777777" w:rsidTr="00D966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75" w:type="dxa"/>
          </w:tcPr>
          <w:p w14:paraId="00B4CA5E" w14:textId="77777777" w:rsidR="00C56D0D" w:rsidRPr="00D966E6" w:rsidRDefault="00C56D0D" w:rsidP="00D966E6">
            <w:pPr>
              <w:pStyle w:val="BodyText"/>
            </w:pPr>
            <w:r w:rsidRPr="00C329C4">
              <w:t xml:space="preserve">E20.8 </w:t>
            </w:r>
          </w:p>
        </w:tc>
        <w:tc>
          <w:tcPr>
            <w:tcW w:w="4680" w:type="dxa"/>
          </w:tcPr>
          <w:p w14:paraId="32C41D2A" w14:textId="77777777" w:rsidR="00C56D0D" w:rsidRPr="00C329C4" w:rsidRDefault="00C56D0D" w:rsidP="00D966E6">
            <w:pPr>
              <w:pStyle w:val="BodyText"/>
              <w:cnfStyle w:val="000000100000" w:firstRow="0" w:lastRow="0" w:firstColumn="0" w:lastColumn="0" w:oddVBand="0" w:evenVBand="0" w:oddHBand="1" w:evenHBand="0" w:firstRowFirstColumn="0" w:firstRowLastColumn="0" w:lastRowFirstColumn="0" w:lastRowLastColumn="0"/>
            </w:pPr>
            <w:proofErr w:type="gramStart"/>
            <w:r w:rsidRPr="00C329C4">
              <w:t>Other</w:t>
            </w:r>
            <w:proofErr w:type="gramEnd"/>
            <w:r w:rsidRPr="00C329C4">
              <w:t xml:space="preserve"> hypoparathyroidism</w:t>
            </w:r>
          </w:p>
        </w:tc>
      </w:tr>
      <w:tr w:rsidR="00C56D0D" w:rsidRPr="00D966E6" w14:paraId="63FF6C52" w14:textId="77777777" w:rsidTr="00D966E6">
        <w:trPr>
          <w:trHeight w:val="331"/>
        </w:trPr>
        <w:tc>
          <w:tcPr>
            <w:cnfStyle w:val="001000000000" w:firstRow="0" w:lastRow="0" w:firstColumn="1" w:lastColumn="0" w:oddVBand="0" w:evenVBand="0" w:oddHBand="0" w:evenHBand="0" w:firstRowFirstColumn="0" w:firstRowLastColumn="0" w:lastRowFirstColumn="0" w:lastRowLastColumn="0"/>
            <w:tcW w:w="1975" w:type="dxa"/>
          </w:tcPr>
          <w:p w14:paraId="0F5A241B" w14:textId="77777777" w:rsidR="00C56D0D" w:rsidRPr="00D966E6" w:rsidRDefault="00C56D0D" w:rsidP="00D966E6">
            <w:pPr>
              <w:pStyle w:val="BodyText"/>
            </w:pPr>
            <w:r w:rsidRPr="00C329C4">
              <w:t xml:space="preserve">E20.9 </w:t>
            </w:r>
          </w:p>
        </w:tc>
        <w:tc>
          <w:tcPr>
            <w:tcW w:w="4680" w:type="dxa"/>
          </w:tcPr>
          <w:p w14:paraId="1027DABE" w14:textId="77777777" w:rsidR="00C56D0D" w:rsidRPr="00C329C4" w:rsidRDefault="00C56D0D" w:rsidP="00D966E6">
            <w:pPr>
              <w:pStyle w:val="BodyText"/>
              <w:cnfStyle w:val="000000000000" w:firstRow="0" w:lastRow="0" w:firstColumn="0" w:lastColumn="0" w:oddVBand="0" w:evenVBand="0" w:oddHBand="0" w:evenHBand="0" w:firstRowFirstColumn="0" w:firstRowLastColumn="0" w:lastRowFirstColumn="0" w:lastRowLastColumn="0"/>
            </w:pPr>
            <w:r w:rsidRPr="00C329C4">
              <w:t>Unspecified Hypoparathyroidism</w:t>
            </w:r>
          </w:p>
        </w:tc>
      </w:tr>
      <w:tr w:rsidR="00C56D0D" w:rsidRPr="00D966E6" w14:paraId="4FFF5172" w14:textId="77777777" w:rsidTr="00D966E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975" w:type="dxa"/>
          </w:tcPr>
          <w:p w14:paraId="58EB7E4F" w14:textId="77777777" w:rsidR="00C56D0D" w:rsidRPr="00D966E6" w:rsidRDefault="00C56D0D" w:rsidP="00D966E6">
            <w:pPr>
              <w:pStyle w:val="BodyText"/>
            </w:pPr>
            <w:r w:rsidRPr="00C329C4">
              <w:t xml:space="preserve">E89.2 </w:t>
            </w:r>
          </w:p>
        </w:tc>
        <w:tc>
          <w:tcPr>
            <w:tcW w:w="4680" w:type="dxa"/>
          </w:tcPr>
          <w:p w14:paraId="5D59903D" w14:textId="77777777" w:rsidR="00C56D0D" w:rsidRPr="00C329C4" w:rsidRDefault="00C56D0D" w:rsidP="00D966E6">
            <w:pPr>
              <w:pStyle w:val="BodyText"/>
              <w:cnfStyle w:val="000000100000" w:firstRow="0" w:lastRow="0" w:firstColumn="0" w:lastColumn="0" w:oddVBand="0" w:evenVBand="0" w:oddHBand="1" w:evenHBand="0" w:firstRowFirstColumn="0" w:firstRowLastColumn="0" w:lastRowFirstColumn="0" w:lastRowLastColumn="0"/>
            </w:pPr>
            <w:r w:rsidRPr="00C329C4">
              <w:t>Postprocedural hypoparathyroidism</w:t>
            </w:r>
          </w:p>
        </w:tc>
      </w:tr>
    </w:tbl>
    <w:p w14:paraId="72214E04" w14:textId="77777777" w:rsidR="00C56D0D" w:rsidRPr="00903021" w:rsidRDefault="00C56D0D" w:rsidP="00EA2E25">
      <w:pPr>
        <w:rPr>
          <w:b/>
          <w:bCs/>
          <w:sz w:val="22"/>
          <w:szCs w:val="22"/>
        </w:rPr>
      </w:pPr>
    </w:p>
    <w:p w14:paraId="49CE5AE3" w14:textId="3D460CB3" w:rsidR="00EA2E25" w:rsidRPr="00903021" w:rsidRDefault="00C56D0D" w:rsidP="00EA2E25">
      <w:pPr>
        <w:rPr>
          <w:b/>
          <w:bCs/>
          <w:sz w:val="22"/>
          <w:szCs w:val="22"/>
        </w:rPr>
      </w:pPr>
      <w:r w:rsidRPr="00903021">
        <w:rPr>
          <w:b/>
          <w:bCs/>
          <w:sz w:val="22"/>
          <w:szCs w:val="22"/>
        </w:rPr>
        <w:t>Table</w:t>
      </w:r>
      <w:r w:rsidR="00EA2E25" w:rsidRPr="00903021">
        <w:rPr>
          <w:b/>
          <w:bCs/>
          <w:sz w:val="22"/>
          <w:szCs w:val="22"/>
        </w:rPr>
        <w:t xml:space="preserve"> </w:t>
      </w:r>
      <w:r w:rsidR="00903021" w:rsidRPr="00903021">
        <w:rPr>
          <w:b/>
          <w:bCs/>
          <w:sz w:val="22"/>
          <w:szCs w:val="22"/>
        </w:rPr>
        <w:t>2</w:t>
      </w:r>
      <w:r w:rsidR="00EA2E25" w:rsidRPr="00903021">
        <w:rPr>
          <w:b/>
          <w:bCs/>
          <w:sz w:val="22"/>
          <w:szCs w:val="22"/>
        </w:rPr>
        <w:t>: Hypoparathyroidism predictive procedural codes</w:t>
      </w:r>
      <w:bookmarkEnd w:id="55"/>
    </w:p>
    <w:p w14:paraId="194BFE26" w14:textId="77777777" w:rsidR="00EA2E25" w:rsidRPr="00903021" w:rsidRDefault="00EA2E25" w:rsidP="00075EE0">
      <w:pPr>
        <w:rPr>
          <w:sz w:val="14"/>
        </w:rPr>
      </w:pPr>
    </w:p>
    <w:tbl>
      <w:tblPr>
        <w:tblStyle w:val="LightList-Accent11"/>
        <w:tblW w:w="0" w:type="auto"/>
        <w:tblLook w:val="04A0" w:firstRow="1" w:lastRow="0" w:firstColumn="1" w:lastColumn="0" w:noHBand="0" w:noVBand="1"/>
      </w:tblPr>
      <w:tblGrid>
        <w:gridCol w:w="3230"/>
        <w:gridCol w:w="5777"/>
      </w:tblGrid>
      <w:tr w:rsidR="00EA2E25" w:rsidRPr="009A16E0" w14:paraId="574CC332" w14:textId="77777777" w:rsidTr="00261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4329E8A6" w14:textId="77777777" w:rsidR="00EA2E25" w:rsidRPr="009A16E0" w:rsidRDefault="00EA2E25" w:rsidP="002619EF">
            <w:pPr>
              <w:pStyle w:val="BodyText"/>
            </w:pPr>
            <w:r>
              <w:rPr>
                <w:lang w:eastAsia="en-GB"/>
              </w:rPr>
              <w:t>ICD-10 code</w:t>
            </w:r>
          </w:p>
        </w:tc>
        <w:tc>
          <w:tcPr>
            <w:tcW w:w="5777" w:type="dxa"/>
          </w:tcPr>
          <w:p w14:paraId="39CF0DAF" w14:textId="77777777" w:rsidR="00EA2E25" w:rsidRPr="009A16E0" w:rsidRDefault="00EA2E25" w:rsidP="002619EF">
            <w:pPr>
              <w:pStyle w:val="BodyText"/>
              <w:cnfStyle w:val="100000000000" w:firstRow="1" w:lastRow="0" w:firstColumn="0" w:lastColumn="0" w:oddVBand="0" w:evenVBand="0" w:oddHBand="0" w:evenHBand="0" w:firstRowFirstColumn="0" w:firstRowLastColumn="0" w:lastRowFirstColumn="0" w:lastRowLastColumn="0"/>
            </w:pPr>
            <w:r>
              <w:rPr>
                <w:lang w:eastAsia="en-GB"/>
              </w:rPr>
              <w:t>Procedure</w:t>
            </w:r>
          </w:p>
        </w:tc>
      </w:tr>
      <w:tr w:rsidR="00EA2E25" w:rsidRPr="009A16E0" w14:paraId="681380BA"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36E94016" w14:textId="77777777" w:rsidR="00EA2E25" w:rsidRPr="009A16E0" w:rsidRDefault="00EA2E25" w:rsidP="002619EF">
            <w:pPr>
              <w:pStyle w:val="BodyText"/>
            </w:pPr>
            <w:r>
              <w:t>1.FV.87</w:t>
            </w:r>
          </w:p>
        </w:tc>
        <w:tc>
          <w:tcPr>
            <w:tcW w:w="5777" w:type="dxa"/>
          </w:tcPr>
          <w:p w14:paraId="2D4C6D8D" w14:textId="77777777" w:rsidR="00EA2E25" w:rsidRPr="009A16E0"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9A16E0">
              <w:t>Parathyroidectomy (full/partial)</w:t>
            </w:r>
          </w:p>
        </w:tc>
      </w:tr>
      <w:tr w:rsidR="00EA2E25" w:rsidRPr="009A16E0" w14:paraId="2082CB9A" w14:textId="77777777" w:rsidTr="002619EF">
        <w:tc>
          <w:tcPr>
            <w:cnfStyle w:val="001000000000" w:firstRow="0" w:lastRow="0" w:firstColumn="1" w:lastColumn="0" w:oddVBand="0" w:evenVBand="0" w:oddHBand="0" w:evenHBand="0" w:firstRowFirstColumn="0" w:firstRowLastColumn="0" w:lastRowFirstColumn="0" w:lastRowLastColumn="0"/>
            <w:tcW w:w="3230" w:type="dxa"/>
          </w:tcPr>
          <w:p w14:paraId="4F3E5CDA" w14:textId="77777777" w:rsidR="00EA2E25" w:rsidRPr="009A16E0" w:rsidRDefault="00EA2E25" w:rsidP="002619EF">
            <w:pPr>
              <w:pStyle w:val="BodyText"/>
            </w:pPr>
            <w:r>
              <w:t>1.</w:t>
            </w:r>
            <w:r w:rsidRPr="009A16E0">
              <w:t>FV.89</w:t>
            </w:r>
          </w:p>
        </w:tc>
        <w:tc>
          <w:tcPr>
            <w:tcW w:w="5777" w:type="dxa"/>
          </w:tcPr>
          <w:p w14:paraId="267CE5A6" w14:textId="77777777" w:rsidR="00EA2E25" w:rsidRPr="009A16E0"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9A16E0">
              <w:t>Parathyroidectomy (full/partial)</w:t>
            </w:r>
          </w:p>
        </w:tc>
      </w:tr>
      <w:tr w:rsidR="00EA2E25" w:rsidRPr="009A16E0" w14:paraId="5F6FD5F5"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54C9928F" w14:textId="77777777" w:rsidR="00EA2E25" w:rsidRPr="009A16E0" w:rsidRDefault="00EA2E25" w:rsidP="002619EF">
            <w:pPr>
              <w:pStyle w:val="BodyText"/>
            </w:pPr>
            <w:r w:rsidRPr="009A16E0">
              <w:t>1.FV.</w:t>
            </w:r>
            <w:proofErr w:type="gramStart"/>
            <w:r w:rsidRPr="009A16E0">
              <w:t>52.^</w:t>
            </w:r>
            <w:proofErr w:type="gramEnd"/>
            <w:r w:rsidRPr="009A16E0">
              <w:t xml:space="preserve">^ </w:t>
            </w:r>
          </w:p>
        </w:tc>
        <w:tc>
          <w:tcPr>
            <w:tcW w:w="5777" w:type="dxa"/>
          </w:tcPr>
          <w:p w14:paraId="540859F4" w14:textId="77777777" w:rsidR="00EA2E25" w:rsidRPr="009A16E0"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9A16E0">
              <w:t>Parathyroid Drainage</w:t>
            </w:r>
          </w:p>
        </w:tc>
      </w:tr>
      <w:tr w:rsidR="00EA2E25" w:rsidRPr="009A16E0" w14:paraId="74C30DD4" w14:textId="77777777" w:rsidTr="002619EF">
        <w:tc>
          <w:tcPr>
            <w:cnfStyle w:val="001000000000" w:firstRow="0" w:lastRow="0" w:firstColumn="1" w:lastColumn="0" w:oddVBand="0" w:evenVBand="0" w:oddHBand="0" w:evenHBand="0" w:firstRowFirstColumn="0" w:firstRowLastColumn="0" w:lastRowFirstColumn="0" w:lastRowLastColumn="0"/>
            <w:tcW w:w="3230" w:type="dxa"/>
          </w:tcPr>
          <w:p w14:paraId="606FFC8E" w14:textId="77777777" w:rsidR="00EA2E25" w:rsidRPr="009A16E0" w:rsidRDefault="00EA2E25" w:rsidP="002619EF">
            <w:pPr>
              <w:pStyle w:val="BodyText"/>
            </w:pPr>
            <w:r w:rsidRPr="009A16E0">
              <w:t>1.FV.</w:t>
            </w:r>
            <w:proofErr w:type="gramStart"/>
            <w:r w:rsidRPr="009A16E0">
              <w:t>55.^</w:t>
            </w:r>
            <w:proofErr w:type="gramEnd"/>
            <w:r w:rsidRPr="009A16E0">
              <w:t xml:space="preserve">^ </w:t>
            </w:r>
          </w:p>
        </w:tc>
        <w:tc>
          <w:tcPr>
            <w:tcW w:w="5777" w:type="dxa"/>
          </w:tcPr>
          <w:p w14:paraId="4338CAA6" w14:textId="77777777" w:rsidR="00EA2E25" w:rsidRPr="009A16E0"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9A16E0">
              <w:t>Parathyroid Removal of Device</w:t>
            </w:r>
          </w:p>
        </w:tc>
      </w:tr>
      <w:tr w:rsidR="00EA2E25" w:rsidRPr="009A16E0" w14:paraId="048BB98B"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79F681D0" w14:textId="77777777" w:rsidR="00EA2E25" w:rsidRPr="009A16E0" w:rsidRDefault="00EA2E25" w:rsidP="002619EF">
            <w:pPr>
              <w:pStyle w:val="BodyText"/>
            </w:pPr>
            <w:r w:rsidRPr="009A16E0">
              <w:t>1.FV.</w:t>
            </w:r>
            <w:proofErr w:type="gramStart"/>
            <w:r w:rsidRPr="009A16E0">
              <w:t>59.^</w:t>
            </w:r>
            <w:proofErr w:type="gramEnd"/>
            <w:r w:rsidRPr="009A16E0">
              <w:t xml:space="preserve">^ </w:t>
            </w:r>
          </w:p>
        </w:tc>
        <w:tc>
          <w:tcPr>
            <w:tcW w:w="5777" w:type="dxa"/>
          </w:tcPr>
          <w:p w14:paraId="00DEF5E3" w14:textId="77777777" w:rsidR="00EA2E25" w:rsidRPr="009A16E0"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9A16E0">
              <w:t>Parathyroid Destruction</w:t>
            </w:r>
          </w:p>
        </w:tc>
      </w:tr>
      <w:tr w:rsidR="00EA2E25" w:rsidRPr="009A16E0" w14:paraId="6C22B02F" w14:textId="77777777" w:rsidTr="002619EF">
        <w:tc>
          <w:tcPr>
            <w:cnfStyle w:val="001000000000" w:firstRow="0" w:lastRow="0" w:firstColumn="1" w:lastColumn="0" w:oddVBand="0" w:evenVBand="0" w:oddHBand="0" w:evenHBand="0" w:firstRowFirstColumn="0" w:firstRowLastColumn="0" w:lastRowFirstColumn="0" w:lastRowLastColumn="0"/>
            <w:tcW w:w="3230" w:type="dxa"/>
          </w:tcPr>
          <w:p w14:paraId="7F59C630" w14:textId="77777777" w:rsidR="00EA2E25" w:rsidRPr="009A16E0" w:rsidRDefault="00EA2E25" w:rsidP="002619EF">
            <w:pPr>
              <w:pStyle w:val="BodyText"/>
            </w:pPr>
            <w:r>
              <w:t>1.FU.87</w:t>
            </w:r>
          </w:p>
        </w:tc>
        <w:tc>
          <w:tcPr>
            <w:tcW w:w="5777" w:type="dxa"/>
          </w:tcPr>
          <w:p w14:paraId="321509B8" w14:textId="77777777" w:rsidR="00EA2E25" w:rsidRPr="009A16E0"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9A16E0">
              <w:t>Thyroidectomy (full/partial)</w:t>
            </w:r>
          </w:p>
        </w:tc>
      </w:tr>
      <w:tr w:rsidR="00EA2E25" w:rsidRPr="009A16E0" w14:paraId="72F7E7B4"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09CDDAD6" w14:textId="77777777" w:rsidR="00EA2E25" w:rsidRPr="009A16E0" w:rsidRDefault="00EA2E25" w:rsidP="002619EF">
            <w:pPr>
              <w:pStyle w:val="BodyText"/>
            </w:pPr>
            <w:r w:rsidRPr="009A16E0">
              <w:t>1.FU.89</w:t>
            </w:r>
          </w:p>
        </w:tc>
        <w:tc>
          <w:tcPr>
            <w:tcW w:w="5777" w:type="dxa"/>
          </w:tcPr>
          <w:p w14:paraId="3950FC9D" w14:textId="77777777" w:rsidR="00EA2E25" w:rsidRPr="009A16E0"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9A16E0">
              <w:t>Thyroidectomy (full/partial)</w:t>
            </w:r>
          </w:p>
        </w:tc>
      </w:tr>
      <w:tr w:rsidR="00EA2E25" w:rsidRPr="009A16E0" w14:paraId="1F251DDB" w14:textId="77777777" w:rsidTr="002619EF">
        <w:tc>
          <w:tcPr>
            <w:cnfStyle w:val="001000000000" w:firstRow="0" w:lastRow="0" w:firstColumn="1" w:lastColumn="0" w:oddVBand="0" w:evenVBand="0" w:oddHBand="0" w:evenHBand="0" w:firstRowFirstColumn="0" w:firstRowLastColumn="0" w:lastRowFirstColumn="0" w:lastRowLastColumn="0"/>
            <w:tcW w:w="3230" w:type="dxa"/>
          </w:tcPr>
          <w:p w14:paraId="2B80C7F9" w14:textId="77777777" w:rsidR="00EA2E25" w:rsidRPr="009A16E0" w:rsidRDefault="00EA2E25" w:rsidP="002619EF">
            <w:pPr>
              <w:pStyle w:val="BodyText"/>
            </w:pPr>
            <w:r w:rsidRPr="009A16E0">
              <w:t>1.FU.</w:t>
            </w:r>
            <w:proofErr w:type="gramStart"/>
            <w:r w:rsidRPr="009A16E0">
              <w:t>52.^</w:t>
            </w:r>
            <w:proofErr w:type="gramEnd"/>
            <w:r w:rsidRPr="009A16E0">
              <w:t xml:space="preserve">^ </w:t>
            </w:r>
          </w:p>
        </w:tc>
        <w:tc>
          <w:tcPr>
            <w:tcW w:w="5777" w:type="dxa"/>
          </w:tcPr>
          <w:p w14:paraId="06845E5F" w14:textId="77777777" w:rsidR="00EA2E25" w:rsidRPr="009A16E0"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9A16E0">
              <w:t>Thyroid Drainage</w:t>
            </w:r>
          </w:p>
        </w:tc>
      </w:tr>
      <w:tr w:rsidR="00EA2E25" w:rsidRPr="009A16E0" w14:paraId="40E836FB"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6DF72F00" w14:textId="77777777" w:rsidR="00EA2E25" w:rsidRPr="009A16E0" w:rsidRDefault="00EA2E25" w:rsidP="002619EF">
            <w:pPr>
              <w:pStyle w:val="BodyText"/>
            </w:pPr>
            <w:r w:rsidRPr="009A16E0">
              <w:t>1.FU.</w:t>
            </w:r>
            <w:proofErr w:type="gramStart"/>
            <w:r w:rsidRPr="009A16E0">
              <w:t>55.^</w:t>
            </w:r>
            <w:proofErr w:type="gramEnd"/>
            <w:r w:rsidRPr="009A16E0">
              <w:t xml:space="preserve">^ </w:t>
            </w:r>
          </w:p>
        </w:tc>
        <w:tc>
          <w:tcPr>
            <w:tcW w:w="5777" w:type="dxa"/>
          </w:tcPr>
          <w:p w14:paraId="3ED3080A" w14:textId="77777777" w:rsidR="00EA2E25" w:rsidRPr="009A16E0"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9A16E0">
              <w:t>Thyroid Removal of Device</w:t>
            </w:r>
          </w:p>
        </w:tc>
      </w:tr>
      <w:tr w:rsidR="00EA2E25" w:rsidRPr="009A16E0" w14:paraId="62DC2E93" w14:textId="77777777" w:rsidTr="002619EF">
        <w:tc>
          <w:tcPr>
            <w:cnfStyle w:val="001000000000" w:firstRow="0" w:lastRow="0" w:firstColumn="1" w:lastColumn="0" w:oddVBand="0" w:evenVBand="0" w:oddHBand="0" w:evenHBand="0" w:firstRowFirstColumn="0" w:firstRowLastColumn="0" w:lastRowFirstColumn="0" w:lastRowLastColumn="0"/>
            <w:tcW w:w="3230" w:type="dxa"/>
          </w:tcPr>
          <w:p w14:paraId="279222BC" w14:textId="77777777" w:rsidR="00EA2E25" w:rsidRPr="009A16E0" w:rsidRDefault="00EA2E25" w:rsidP="002619EF">
            <w:pPr>
              <w:pStyle w:val="BodyText"/>
            </w:pPr>
            <w:r w:rsidRPr="009A16E0">
              <w:t>1.FU.</w:t>
            </w:r>
            <w:proofErr w:type="gramStart"/>
            <w:r w:rsidRPr="009A16E0">
              <w:t>71.^</w:t>
            </w:r>
            <w:proofErr w:type="gramEnd"/>
            <w:r w:rsidRPr="009A16E0">
              <w:t xml:space="preserve">^ </w:t>
            </w:r>
          </w:p>
        </w:tc>
        <w:tc>
          <w:tcPr>
            <w:tcW w:w="5777" w:type="dxa"/>
          </w:tcPr>
          <w:p w14:paraId="2C4B6130" w14:textId="77777777" w:rsidR="00EA2E25" w:rsidRPr="009A16E0"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9A16E0">
              <w:t>Thyroid Division</w:t>
            </w:r>
          </w:p>
        </w:tc>
      </w:tr>
      <w:tr w:rsidR="00EA2E25" w:rsidRPr="009A16E0" w14:paraId="5837A770"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33F3A9D3" w14:textId="77777777" w:rsidR="00EA2E25" w:rsidRPr="009A16E0" w:rsidRDefault="00EA2E25" w:rsidP="002619EF">
            <w:pPr>
              <w:pStyle w:val="BodyText"/>
            </w:pPr>
            <w:r w:rsidRPr="009A16E0">
              <w:t>1.FU.</w:t>
            </w:r>
            <w:proofErr w:type="gramStart"/>
            <w:r w:rsidRPr="009A16E0">
              <w:t>59.^</w:t>
            </w:r>
            <w:proofErr w:type="gramEnd"/>
            <w:r w:rsidRPr="009A16E0">
              <w:t xml:space="preserve">^ </w:t>
            </w:r>
          </w:p>
        </w:tc>
        <w:tc>
          <w:tcPr>
            <w:tcW w:w="5777" w:type="dxa"/>
          </w:tcPr>
          <w:p w14:paraId="25C6D720" w14:textId="77777777" w:rsidR="00EA2E25" w:rsidRPr="009A16E0"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9A16E0">
              <w:t>Thyroid Destruction</w:t>
            </w:r>
          </w:p>
        </w:tc>
      </w:tr>
      <w:tr w:rsidR="00EA2E25" w:rsidRPr="009A16E0" w14:paraId="06255234" w14:textId="77777777" w:rsidTr="002619EF">
        <w:tc>
          <w:tcPr>
            <w:cnfStyle w:val="001000000000" w:firstRow="0" w:lastRow="0" w:firstColumn="1" w:lastColumn="0" w:oddVBand="0" w:evenVBand="0" w:oddHBand="0" w:evenHBand="0" w:firstRowFirstColumn="0" w:firstRowLastColumn="0" w:lastRowFirstColumn="0" w:lastRowLastColumn="0"/>
            <w:tcW w:w="3230" w:type="dxa"/>
          </w:tcPr>
          <w:p w14:paraId="6A1F5218" w14:textId="77777777" w:rsidR="00EA2E25" w:rsidRPr="009A16E0" w:rsidRDefault="00EA2E25" w:rsidP="002619EF">
            <w:pPr>
              <w:pStyle w:val="BodyText"/>
            </w:pPr>
            <w:r w:rsidRPr="009A16E0">
              <w:t>1.FU.</w:t>
            </w:r>
            <w:proofErr w:type="gramStart"/>
            <w:r w:rsidRPr="009A16E0">
              <w:t>13.^</w:t>
            </w:r>
            <w:proofErr w:type="gramEnd"/>
            <w:r w:rsidRPr="009A16E0">
              <w:t>^</w:t>
            </w:r>
          </w:p>
        </w:tc>
        <w:tc>
          <w:tcPr>
            <w:tcW w:w="5777" w:type="dxa"/>
          </w:tcPr>
          <w:p w14:paraId="4E9D5DD3" w14:textId="77777777" w:rsidR="00EA2E25" w:rsidRPr="009A16E0"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9A16E0">
              <w:t>Thyroid Control of Bleeding</w:t>
            </w:r>
          </w:p>
        </w:tc>
      </w:tr>
      <w:tr w:rsidR="00EA2E25" w:rsidRPr="009A16E0" w14:paraId="5265D047"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60CF539B" w14:textId="77777777" w:rsidR="00EA2E25" w:rsidRPr="009A16E0" w:rsidRDefault="00EA2E25" w:rsidP="002619EF">
            <w:pPr>
              <w:pStyle w:val="BodyText"/>
            </w:pPr>
            <w:r w:rsidRPr="009A16E0">
              <w:t>1.MC.^</w:t>
            </w:r>
            <w:proofErr w:type="gramStart"/>
            <w:r w:rsidRPr="009A16E0">
              <w:t>^.^</w:t>
            </w:r>
            <w:proofErr w:type="gramEnd"/>
            <w:r w:rsidRPr="009A16E0">
              <w:t xml:space="preserve">^ </w:t>
            </w:r>
          </w:p>
        </w:tc>
        <w:tc>
          <w:tcPr>
            <w:tcW w:w="5777" w:type="dxa"/>
          </w:tcPr>
          <w:p w14:paraId="0CC73C6D" w14:textId="77777777" w:rsidR="00EA2E25" w:rsidRPr="009A16E0"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9A16E0">
              <w:t>Neck dissection</w:t>
            </w:r>
          </w:p>
        </w:tc>
      </w:tr>
    </w:tbl>
    <w:p w14:paraId="3A9D649F" w14:textId="0A194E18" w:rsidR="00EA2E25" w:rsidRDefault="00EA2E25" w:rsidP="00075EE0">
      <w:pPr>
        <w:rPr>
          <w:sz w:val="14"/>
        </w:rPr>
      </w:pPr>
    </w:p>
    <w:p w14:paraId="749FAFA0" w14:textId="3159A5F8" w:rsidR="00EA2E25" w:rsidRPr="00EA2E25" w:rsidRDefault="00903021" w:rsidP="00EA2E25">
      <w:pPr>
        <w:rPr>
          <w:b/>
          <w:bCs/>
          <w:sz w:val="22"/>
          <w:szCs w:val="22"/>
        </w:rPr>
      </w:pPr>
      <w:bookmarkStart w:id="58" w:name="_Toc502165483"/>
      <w:r>
        <w:rPr>
          <w:b/>
          <w:bCs/>
          <w:sz w:val="22"/>
          <w:szCs w:val="22"/>
        </w:rPr>
        <w:t>Table 3</w:t>
      </w:r>
      <w:r w:rsidR="00EA2E25" w:rsidRPr="00EA2E25">
        <w:rPr>
          <w:b/>
          <w:bCs/>
          <w:sz w:val="22"/>
          <w:szCs w:val="22"/>
        </w:rPr>
        <w:t>: Hypoparathyroidism predictive disease codes</w:t>
      </w:r>
      <w:bookmarkEnd w:id="58"/>
    </w:p>
    <w:p w14:paraId="6D7569E5" w14:textId="77777777" w:rsidR="00EA2E25" w:rsidRDefault="00EA2E25" w:rsidP="00EA2E25"/>
    <w:tbl>
      <w:tblPr>
        <w:tblStyle w:val="LightList-Accent11"/>
        <w:tblW w:w="0" w:type="auto"/>
        <w:tblInd w:w="-10" w:type="dxa"/>
        <w:tblLook w:val="04A0" w:firstRow="1" w:lastRow="0" w:firstColumn="1" w:lastColumn="0" w:noHBand="0" w:noVBand="1"/>
      </w:tblPr>
      <w:tblGrid>
        <w:gridCol w:w="3330"/>
        <w:gridCol w:w="5687"/>
      </w:tblGrid>
      <w:tr w:rsidR="00EA2E25" w:rsidRPr="009A16E0" w14:paraId="04620E4C" w14:textId="77777777" w:rsidTr="00261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4D9C7C8E" w14:textId="77777777" w:rsidR="00EA2E25" w:rsidRPr="009A16E0" w:rsidRDefault="00EA2E25" w:rsidP="002619EF">
            <w:pPr>
              <w:pStyle w:val="BodyText"/>
            </w:pPr>
            <w:r>
              <w:rPr>
                <w:lang w:eastAsia="en-GB"/>
              </w:rPr>
              <w:t>ICD-10 code</w:t>
            </w:r>
          </w:p>
        </w:tc>
        <w:tc>
          <w:tcPr>
            <w:tcW w:w="5687" w:type="dxa"/>
          </w:tcPr>
          <w:p w14:paraId="076337D8" w14:textId="77777777" w:rsidR="00EA2E25" w:rsidRPr="009A16E0" w:rsidRDefault="00EA2E25" w:rsidP="002619EF">
            <w:pPr>
              <w:pStyle w:val="BodyText"/>
              <w:cnfStyle w:val="100000000000" w:firstRow="1" w:lastRow="0" w:firstColumn="0" w:lastColumn="0" w:oddVBand="0" w:evenVBand="0" w:oddHBand="0" w:evenHBand="0" w:firstRowFirstColumn="0" w:firstRowLastColumn="0" w:lastRowFirstColumn="0" w:lastRowLastColumn="0"/>
            </w:pPr>
            <w:r>
              <w:rPr>
                <w:lang w:eastAsia="en-GB"/>
              </w:rPr>
              <w:t>Diagnosis</w:t>
            </w:r>
          </w:p>
        </w:tc>
      </w:tr>
      <w:tr w:rsidR="00EA2E25" w:rsidRPr="005C4731" w14:paraId="45082FFA"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40CB2F42" w14:textId="77777777" w:rsidR="00EA2E25" w:rsidRPr="005C4731" w:rsidRDefault="00EA2E25" w:rsidP="002619EF">
            <w:pPr>
              <w:pStyle w:val="BodyText"/>
            </w:pPr>
            <w:r w:rsidRPr="005C4731">
              <w:t>A18.7</w:t>
            </w:r>
          </w:p>
        </w:tc>
        <w:tc>
          <w:tcPr>
            <w:tcW w:w="5687" w:type="dxa"/>
          </w:tcPr>
          <w:p w14:paraId="4DE0D2EA" w14:textId="77777777" w:rsidR="00EA2E25" w:rsidRPr="005C4731"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5C4731">
              <w:t>Addison’s disease</w:t>
            </w:r>
          </w:p>
        </w:tc>
      </w:tr>
      <w:tr w:rsidR="00EA2E25" w:rsidRPr="005C4731" w14:paraId="7D1A6EA8" w14:textId="77777777" w:rsidTr="002619EF">
        <w:tc>
          <w:tcPr>
            <w:cnfStyle w:val="001000000000" w:firstRow="0" w:lastRow="0" w:firstColumn="1" w:lastColumn="0" w:oddVBand="0" w:evenVBand="0" w:oddHBand="0" w:evenHBand="0" w:firstRowFirstColumn="0" w:firstRowLastColumn="0" w:lastRowFirstColumn="0" w:lastRowLastColumn="0"/>
            <w:tcW w:w="3330" w:type="dxa"/>
          </w:tcPr>
          <w:p w14:paraId="662562E8" w14:textId="77777777" w:rsidR="00EA2E25" w:rsidRPr="005C4731" w:rsidRDefault="00EA2E25" w:rsidP="002619EF">
            <w:pPr>
              <w:pStyle w:val="BodyText"/>
            </w:pPr>
            <w:r w:rsidRPr="005C4731">
              <w:lastRenderedPageBreak/>
              <w:t>E27</w:t>
            </w:r>
            <w:r>
              <w:t>.1</w:t>
            </w:r>
          </w:p>
        </w:tc>
        <w:tc>
          <w:tcPr>
            <w:tcW w:w="5687" w:type="dxa"/>
          </w:tcPr>
          <w:p w14:paraId="43505D5C" w14:textId="77777777" w:rsidR="00EA2E25" w:rsidRPr="005C4731"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5C4731">
              <w:t>Addison’s disease</w:t>
            </w:r>
          </w:p>
        </w:tc>
      </w:tr>
      <w:tr w:rsidR="00EA2E25" w:rsidRPr="005C4731" w14:paraId="350E7737"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7A1413DF" w14:textId="77777777" w:rsidR="00EA2E25" w:rsidRPr="005C4731" w:rsidRDefault="00EA2E25" w:rsidP="002619EF">
            <w:pPr>
              <w:pStyle w:val="BodyText"/>
            </w:pPr>
            <w:r w:rsidRPr="005C4731">
              <w:t>E27</w:t>
            </w:r>
            <w:r>
              <w:t>.2</w:t>
            </w:r>
          </w:p>
        </w:tc>
        <w:tc>
          <w:tcPr>
            <w:tcW w:w="5687" w:type="dxa"/>
          </w:tcPr>
          <w:p w14:paraId="6F4B4121" w14:textId="77777777" w:rsidR="00EA2E25" w:rsidRPr="005C4731"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5C4731">
              <w:t>Addison’s disease</w:t>
            </w:r>
          </w:p>
        </w:tc>
      </w:tr>
      <w:tr w:rsidR="00EA2E25" w:rsidRPr="005C4731" w14:paraId="5F997890" w14:textId="77777777" w:rsidTr="002619EF">
        <w:tc>
          <w:tcPr>
            <w:cnfStyle w:val="001000000000" w:firstRow="0" w:lastRow="0" w:firstColumn="1" w:lastColumn="0" w:oddVBand="0" w:evenVBand="0" w:oddHBand="0" w:evenHBand="0" w:firstRowFirstColumn="0" w:firstRowLastColumn="0" w:lastRowFirstColumn="0" w:lastRowLastColumn="0"/>
            <w:tcW w:w="3330" w:type="dxa"/>
          </w:tcPr>
          <w:p w14:paraId="070045F0" w14:textId="77777777" w:rsidR="00EA2E25" w:rsidRPr="005C4731" w:rsidRDefault="00EA2E25" w:rsidP="002619EF">
            <w:pPr>
              <w:pStyle w:val="BodyText"/>
            </w:pPr>
            <w:r w:rsidRPr="005C4731">
              <w:t>E27</w:t>
            </w:r>
            <w:r>
              <w:t>.3</w:t>
            </w:r>
          </w:p>
        </w:tc>
        <w:tc>
          <w:tcPr>
            <w:tcW w:w="5687" w:type="dxa"/>
          </w:tcPr>
          <w:p w14:paraId="3087AA35" w14:textId="77777777" w:rsidR="00EA2E25" w:rsidRPr="005C4731"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5C4731">
              <w:t>Addison’s disease</w:t>
            </w:r>
          </w:p>
        </w:tc>
      </w:tr>
      <w:tr w:rsidR="00EA2E25" w:rsidRPr="005C4731" w14:paraId="0D81E584"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1DB306D4" w14:textId="77777777" w:rsidR="00EA2E25" w:rsidRPr="005C4731" w:rsidRDefault="00EA2E25" w:rsidP="002619EF">
            <w:pPr>
              <w:pStyle w:val="BodyText"/>
            </w:pPr>
            <w:r w:rsidRPr="005C4731">
              <w:t>E27</w:t>
            </w:r>
            <w:r>
              <w:t>.</w:t>
            </w:r>
            <w:r w:rsidRPr="005C4731">
              <w:t>4</w:t>
            </w:r>
          </w:p>
        </w:tc>
        <w:tc>
          <w:tcPr>
            <w:tcW w:w="5687" w:type="dxa"/>
          </w:tcPr>
          <w:p w14:paraId="7819B6AC" w14:textId="77777777" w:rsidR="00EA2E25" w:rsidRPr="005C4731"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5C4731">
              <w:t>Addison’s disease</w:t>
            </w:r>
          </w:p>
        </w:tc>
      </w:tr>
      <w:tr w:rsidR="00EA2E25" w:rsidRPr="005C4731" w14:paraId="5244790C" w14:textId="77777777" w:rsidTr="002619EF">
        <w:tc>
          <w:tcPr>
            <w:cnfStyle w:val="001000000000" w:firstRow="0" w:lastRow="0" w:firstColumn="1" w:lastColumn="0" w:oddVBand="0" w:evenVBand="0" w:oddHBand="0" w:evenHBand="0" w:firstRowFirstColumn="0" w:firstRowLastColumn="0" w:lastRowFirstColumn="0" w:lastRowLastColumn="0"/>
            <w:tcW w:w="3330" w:type="dxa"/>
          </w:tcPr>
          <w:p w14:paraId="4B4EA456" w14:textId="77777777" w:rsidR="00EA2E25" w:rsidRPr="005C4731" w:rsidRDefault="00EA2E25" w:rsidP="002619EF">
            <w:pPr>
              <w:pStyle w:val="BodyText"/>
            </w:pPr>
            <w:r w:rsidRPr="005C4731">
              <w:t xml:space="preserve">E35.1 </w:t>
            </w:r>
          </w:p>
        </w:tc>
        <w:tc>
          <w:tcPr>
            <w:tcW w:w="5687" w:type="dxa"/>
          </w:tcPr>
          <w:p w14:paraId="2303579A" w14:textId="77777777" w:rsidR="00EA2E25" w:rsidRPr="005C4731"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5C4731">
              <w:t>Addison’s disease</w:t>
            </w:r>
          </w:p>
        </w:tc>
      </w:tr>
      <w:tr w:rsidR="00EA2E25" w:rsidRPr="005C4731" w14:paraId="717224F1"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27E4B3DA" w14:textId="77777777" w:rsidR="00EA2E25" w:rsidRPr="005C4731" w:rsidRDefault="00EA2E25" w:rsidP="002619EF">
            <w:pPr>
              <w:pStyle w:val="BodyText"/>
            </w:pPr>
            <w:r w:rsidRPr="005C4731">
              <w:t>E31.0</w:t>
            </w:r>
          </w:p>
        </w:tc>
        <w:tc>
          <w:tcPr>
            <w:tcW w:w="5687" w:type="dxa"/>
          </w:tcPr>
          <w:p w14:paraId="0BD47AA8" w14:textId="77777777" w:rsidR="00EA2E25" w:rsidRPr="005C4731"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5C4731">
              <w:t>Polyglandular syndrome</w:t>
            </w:r>
          </w:p>
        </w:tc>
      </w:tr>
      <w:tr w:rsidR="00EA2E25" w:rsidRPr="005C4731" w14:paraId="2911F350" w14:textId="77777777" w:rsidTr="002619EF">
        <w:tc>
          <w:tcPr>
            <w:cnfStyle w:val="001000000000" w:firstRow="0" w:lastRow="0" w:firstColumn="1" w:lastColumn="0" w:oddVBand="0" w:evenVBand="0" w:oddHBand="0" w:evenHBand="0" w:firstRowFirstColumn="0" w:firstRowLastColumn="0" w:lastRowFirstColumn="0" w:lastRowLastColumn="0"/>
            <w:tcW w:w="3330" w:type="dxa"/>
          </w:tcPr>
          <w:p w14:paraId="43002E4E" w14:textId="77777777" w:rsidR="00EA2E25" w:rsidRPr="005C4731" w:rsidRDefault="00EA2E25" w:rsidP="002619EF">
            <w:pPr>
              <w:pStyle w:val="BodyText"/>
            </w:pPr>
            <w:r w:rsidRPr="005C4731">
              <w:t>E31.1</w:t>
            </w:r>
          </w:p>
        </w:tc>
        <w:tc>
          <w:tcPr>
            <w:tcW w:w="5687" w:type="dxa"/>
          </w:tcPr>
          <w:p w14:paraId="78FD50CE" w14:textId="77777777" w:rsidR="00EA2E25" w:rsidRPr="005C4731"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5C4731">
              <w:t>Polyglandular syndrome</w:t>
            </w:r>
          </w:p>
        </w:tc>
      </w:tr>
      <w:tr w:rsidR="00EA2E25" w:rsidRPr="005C4731" w14:paraId="5F82925A"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30AFFCEF" w14:textId="77777777" w:rsidR="00EA2E25" w:rsidRPr="005C4731" w:rsidRDefault="00EA2E25" w:rsidP="002619EF">
            <w:pPr>
              <w:pStyle w:val="BodyText"/>
            </w:pPr>
            <w:r w:rsidRPr="005C4731">
              <w:t>E31.8</w:t>
            </w:r>
          </w:p>
        </w:tc>
        <w:tc>
          <w:tcPr>
            <w:tcW w:w="5687" w:type="dxa"/>
          </w:tcPr>
          <w:p w14:paraId="6A87317E" w14:textId="77777777" w:rsidR="00EA2E25" w:rsidRPr="005C4731"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5C4731">
              <w:t>Polyglandular syndrome</w:t>
            </w:r>
          </w:p>
        </w:tc>
      </w:tr>
      <w:tr w:rsidR="00EA2E25" w:rsidRPr="005C4731" w14:paraId="509C4907" w14:textId="77777777" w:rsidTr="002619EF">
        <w:tc>
          <w:tcPr>
            <w:cnfStyle w:val="001000000000" w:firstRow="0" w:lastRow="0" w:firstColumn="1" w:lastColumn="0" w:oddVBand="0" w:evenVBand="0" w:oddHBand="0" w:evenHBand="0" w:firstRowFirstColumn="0" w:firstRowLastColumn="0" w:lastRowFirstColumn="0" w:lastRowLastColumn="0"/>
            <w:tcW w:w="3330" w:type="dxa"/>
          </w:tcPr>
          <w:p w14:paraId="2F356FE5" w14:textId="77777777" w:rsidR="00EA2E25" w:rsidRPr="005C4731" w:rsidRDefault="00EA2E25" w:rsidP="002619EF">
            <w:pPr>
              <w:pStyle w:val="BodyText"/>
            </w:pPr>
            <w:r w:rsidRPr="005C4731">
              <w:t xml:space="preserve">E31.9 </w:t>
            </w:r>
          </w:p>
        </w:tc>
        <w:tc>
          <w:tcPr>
            <w:tcW w:w="5687" w:type="dxa"/>
          </w:tcPr>
          <w:p w14:paraId="30127EEE" w14:textId="77777777" w:rsidR="00EA2E25" w:rsidRPr="005C4731"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5C4731">
              <w:t>Polyglandular syndrome</w:t>
            </w:r>
          </w:p>
        </w:tc>
      </w:tr>
      <w:tr w:rsidR="00EA2E25" w:rsidRPr="005C4731" w14:paraId="24AC83A9"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16AA5FD9" w14:textId="77777777" w:rsidR="00EA2E25" w:rsidRPr="005C4731" w:rsidRDefault="00EA2E25" w:rsidP="002619EF">
            <w:pPr>
              <w:pStyle w:val="BodyText"/>
            </w:pPr>
            <w:r w:rsidRPr="005C4731">
              <w:t xml:space="preserve">D82.1 </w:t>
            </w:r>
          </w:p>
        </w:tc>
        <w:tc>
          <w:tcPr>
            <w:tcW w:w="5687" w:type="dxa"/>
          </w:tcPr>
          <w:p w14:paraId="212BB431" w14:textId="77777777" w:rsidR="00EA2E25" w:rsidRPr="005C4731"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5C4731">
              <w:t>DiGeorge syndrome</w:t>
            </w:r>
          </w:p>
        </w:tc>
      </w:tr>
      <w:tr w:rsidR="00EA2E25" w:rsidRPr="005C4731" w14:paraId="51151723" w14:textId="77777777" w:rsidTr="002619EF">
        <w:tc>
          <w:tcPr>
            <w:cnfStyle w:val="001000000000" w:firstRow="0" w:lastRow="0" w:firstColumn="1" w:lastColumn="0" w:oddVBand="0" w:evenVBand="0" w:oddHBand="0" w:evenHBand="0" w:firstRowFirstColumn="0" w:firstRowLastColumn="0" w:lastRowFirstColumn="0" w:lastRowLastColumn="0"/>
            <w:tcW w:w="3330" w:type="dxa"/>
          </w:tcPr>
          <w:p w14:paraId="0943A54B" w14:textId="77777777" w:rsidR="00EA2E25" w:rsidRPr="005C4731" w:rsidRDefault="00EA2E25" w:rsidP="002619EF">
            <w:pPr>
              <w:pStyle w:val="BodyText"/>
            </w:pPr>
            <w:r w:rsidRPr="005C4731">
              <w:t>N16.3</w:t>
            </w:r>
          </w:p>
        </w:tc>
        <w:tc>
          <w:tcPr>
            <w:tcW w:w="5687" w:type="dxa"/>
          </w:tcPr>
          <w:p w14:paraId="0328D8E2" w14:textId="77777777" w:rsidR="00EA2E25" w:rsidRPr="005C4731"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5C4731">
              <w:t>Wilson’s disease</w:t>
            </w:r>
          </w:p>
        </w:tc>
      </w:tr>
      <w:tr w:rsidR="00EA2E25" w:rsidRPr="005C4731" w14:paraId="0875387E"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31258D08" w14:textId="77777777" w:rsidR="00EA2E25" w:rsidRPr="005C4731" w:rsidRDefault="00EA2E25" w:rsidP="002619EF">
            <w:pPr>
              <w:pStyle w:val="BodyText"/>
            </w:pPr>
            <w:r w:rsidRPr="005C4731">
              <w:t xml:space="preserve">E83.0 </w:t>
            </w:r>
          </w:p>
        </w:tc>
        <w:tc>
          <w:tcPr>
            <w:tcW w:w="5687" w:type="dxa"/>
          </w:tcPr>
          <w:p w14:paraId="08A04B4B" w14:textId="77777777" w:rsidR="00EA2E25" w:rsidRPr="005C4731" w:rsidRDefault="00EA2E25" w:rsidP="002619EF">
            <w:pPr>
              <w:pStyle w:val="BodyText"/>
              <w:cnfStyle w:val="000000100000" w:firstRow="0" w:lastRow="0" w:firstColumn="0" w:lastColumn="0" w:oddVBand="0" w:evenVBand="0" w:oddHBand="1" w:evenHBand="0" w:firstRowFirstColumn="0" w:firstRowLastColumn="0" w:lastRowFirstColumn="0" w:lastRowLastColumn="0"/>
            </w:pPr>
            <w:r w:rsidRPr="005C4731">
              <w:t>Wilson’s disease</w:t>
            </w:r>
          </w:p>
        </w:tc>
      </w:tr>
      <w:tr w:rsidR="00EA2E25" w:rsidRPr="005C4731" w14:paraId="111B59F1" w14:textId="77777777" w:rsidTr="002619EF">
        <w:tc>
          <w:tcPr>
            <w:cnfStyle w:val="001000000000" w:firstRow="0" w:lastRow="0" w:firstColumn="1" w:lastColumn="0" w:oddVBand="0" w:evenVBand="0" w:oddHBand="0" w:evenHBand="0" w:firstRowFirstColumn="0" w:firstRowLastColumn="0" w:lastRowFirstColumn="0" w:lastRowLastColumn="0"/>
            <w:tcW w:w="3330" w:type="dxa"/>
          </w:tcPr>
          <w:p w14:paraId="1404EEC0" w14:textId="77777777" w:rsidR="00EA2E25" w:rsidRPr="005C4731" w:rsidRDefault="00EA2E25" w:rsidP="002619EF">
            <w:pPr>
              <w:pStyle w:val="BodyText"/>
            </w:pPr>
            <w:r w:rsidRPr="005C4731">
              <w:t xml:space="preserve">H49.8 </w:t>
            </w:r>
          </w:p>
        </w:tc>
        <w:tc>
          <w:tcPr>
            <w:tcW w:w="5687" w:type="dxa"/>
          </w:tcPr>
          <w:p w14:paraId="1C47FF56" w14:textId="77777777" w:rsidR="00EA2E25" w:rsidRPr="005C4731" w:rsidRDefault="00EA2E25" w:rsidP="002619EF">
            <w:pPr>
              <w:pStyle w:val="BodyText"/>
              <w:cnfStyle w:val="000000000000" w:firstRow="0" w:lastRow="0" w:firstColumn="0" w:lastColumn="0" w:oddVBand="0" w:evenVBand="0" w:oddHBand="0" w:evenHBand="0" w:firstRowFirstColumn="0" w:firstRowLastColumn="0" w:lastRowFirstColumn="0" w:lastRowLastColumn="0"/>
            </w:pPr>
            <w:r w:rsidRPr="005C4731">
              <w:t>Kearns-Sayre syndrome</w:t>
            </w:r>
          </w:p>
        </w:tc>
      </w:tr>
      <w:tr w:rsidR="00EA2E25" w:rsidRPr="005C4731" w14:paraId="4FD3EDA2"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shd w:val="clear" w:color="auto" w:fill="00B0F0"/>
          </w:tcPr>
          <w:p w14:paraId="00F13697" w14:textId="77777777" w:rsidR="00EA2E25" w:rsidRPr="00F87EE9" w:rsidRDefault="00EA2E25" w:rsidP="002619EF">
            <w:pPr>
              <w:pStyle w:val="BodyText"/>
            </w:pPr>
            <w:r w:rsidRPr="00F87EE9">
              <w:rPr>
                <w:lang w:eastAsia="en-GB"/>
              </w:rPr>
              <w:t>ICD-9 code</w:t>
            </w:r>
          </w:p>
        </w:tc>
        <w:tc>
          <w:tcPr>
            <w:tcW w:w="5687" w:type="dxa"/>
            <w:shd w:val="clear" w:color="auto" w:fill="00B0F0"/>
          </w:tcPr>
          <w:p w14:paraId="40C7E61E" w14:textId="77777777" w:rsidR="00EA2E25" w:rsidRPr="00F87EE9" w:rsidRDefault="00EA2E25" w:rsidP="002619EF">
            <w:pPr>
              <w:pStyle w:val="BodyText"/>
              <w:cnfStyle w:val="000000100000" w:firstRow="0" w:lastRow="0" w:firstColumn="0" w:lastColumn="0" w:oddVBand="0" w:evenVBand="0" w:oddHBand="1" w:evenHBand="0" w:firstRowFirstColumn="0" w:firstRowLastColumn="0" w:lastRowFirstColumn="0" w:lastRowLastColumn="0"/>
              <w:rPr>
                <w:b/>
              </w:rPr>
            </w:pPr>
            <w:r w:rsidRPr="00F87EE9">
              <w:rPr>
                <w:b/>
                <w:lang w:eastAsia="en-GB"/>
              </w:rPr>
              <w:t>Diagnosis</w:t>
            </w:r>
          </w:p>
        </w:tc>
      </w:tr>
      <w:tr w:rsidR="00EA2E25" w:rsidRPr="005C4731" w14:paraId="12DD8138" w14:textId="77777777" w:rsidTr="002619EF">
        <w:tc>
          <w:tcPr>
            <w:cnfStyle w:val="001000000000" w:firstRow="0" w:lastRow="0" w:firstColumn="1" w:lastColumn="0" w:oddVBand="0" w:evenVBand="0" w:oddHBand="0" w:evenHBand="0" w:firstRowFirstColumn="0" w:firstRowLastColumn="0" w:lastRowFirstColumn="0" w:lastRowLastColumn="0"/>
            <w:tcW w:w="3330" w:type="dxa"/>
          </w:tcPr>
          <w:p w14:paraId="105031E7" w14:textId="77777777" w:rsidR="00EA2E25" w:rsidRPr="006039AF" w:rsidRDefault="00EA2E25" w:rsidP="002619EF">
            <w:pPr>
              <w:pStyle w:val="BodyText"/>
            </w:pPr>
            <w:r w:rsidRPr="006039AF">
              <w:t xml:space="preserve">252 </w:t>
            </w:r>
          </w:p>
        </w:tc>
        <w:tc>
          <w:tcPr>
            <w:tcW w:w="5687" w:type="dxa"/>
          </w:tcPr>
          <w:p w14:paraId="6F971A6C" w14:textId="77777777" w:rsidR="00EA2E25" w:rsidRDefault="00EA2E25" w:rsidP="002619EF">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6039AF">
              <w:t>Parathyroid gland disorders</w:t>
            </w:r>
          </w:p>
        </w:tc>
      </w:tr>
    </w:tbl>
    <w:p w14:paraId="7EC48E49" w14:textId="116DA1BF" w:rsidR="00EA2E25" w:rsidRDefault="00EA2E25" w:rsidP="00075EE0">
      <w:pPr>
        <w:rPr>
          <w:sz w:val="14"/>
        </w:rPr>
      </w:pPr>
    </w:p>
    <w:p w14:paraId="18BF7124" w14:textId="182E8F52" w:rsidR="00903021" w:rsidRDefault="00903021" w:rsidP="002619EF">
      <w:pPr>
        <w:rPr>
          <w:b/>
          <w:bCs/>
          <w:sz w:val="22"/>
          <w:szCs w:val="22"/>
        </w:rPr>
      </w:pPr>
      <w:bookmarkStart w:id="59" w:name="_Toc502165485"/>
      <w:r>
        <w:rPr>
          <w:b/>
          <w:bCs/>
          <w:sz w:val="22"/>
          <w:szCs w:val="22"/>
        </w:rPr>
        <w:t>Table 4</w:t>
      </w:r>
      <w:r w:rsidR="002619EF" w:rsidRPr="002619EF">
        <w:rPr>
          <w:b/>
          <w:bCs/>
          <w:sz w:val="22"/>
          <w:szCs w:val="22"/>
        </w:rPr>
        <w:t xml:space="preserve">: </w:t>
      </w:r>
      <w:r w:rsidRPr="00903021">
        <w:rPr>
          <w:b/>
          <w:bCs/>
          <w:sz w:val="22"/>
          <w:szCs w:val="22"/>
        </w:rPr>
        <w:t>Hypoparathyroidism surgical procedure codes</w:t>
      </w:r>
    </w:p>
    <w:p w14:paraId="35745993" w14:textId="77777777" w:rsidR="00903021" w:rsidRDefault="00903021" w:rsidP="002619EF">
      <w:pPr>
        <w:rPr>
          <w:b/>
          <w:bCs/>
          <w:sz w:val="22"/>
          <w:szCs w:val="22"/>
        </w:rPr>
      </w:pPr>
    </w:p>
    <w:tbl>
      <w:tblPr>
        <w:tblStyle w:val="LightList-Accent11"/>
        <w:tblW w:w="0" w:type="auto"/>
        <w:tblLook w:val="04A0" w:firstRow="1" w:lastRow="0" w:firstColumn="1" w:lastColumn="0" w:noHBand="0" w:noVBand="1"/>
      </w:tblPr>
      <w:tblGrid>
        <w:gridCol w:w="3230"/>
        <w:gridCol w:w="5777"/>
      </w:tblGrid>
      <w:tr w:rsidR="00903021" w:rsidRPr="009A16E0" w14:paraId="63DBAFAD" w14:textId="77777777" w:rsidTr="00903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5F8C55DF" w14:textId="77777777" w:rsidR="00903021" w:rsidRPr="009A16E0" w:rsidRDefault="00903021" w:rsidP="00903021">
            <w:pPr>
              <w:pStyle w:val="BodyText"/>
            </w:pPr>
            <w:bookmarkStart w:id="60" w:name="_Hlk82158531"/>
            <w:r>
              <w:rPr>
                <w:lang w:eastAsia="en-GB"/>
              </w:rPr>
              <w:t>ICD-10 code</w:t>
            </w:r>
          </w:p>
        </w:tc>
        <w:tc>
          <w:tcPr>
            <w:tcW w:w="5777" w:type="dxa"/>
          </w:tcPr>
          <w:p w14:paraId="25C724CE" w14:textId="77777777" w:rsidR="00903021" w:rsidRPr="009A16E0" w:rsidRDefault="00903021" w:rsidP="00903021">
            <w:pPr>
              <w:pStyle w:val="BodyText"/>
              <w:cnfStyle w:val="100000000000" w:firstRow="1" w:lastRow="0" w:firstColumn="0" w:lastColumn="0" w:oddVBand="0" w:evenVBand="0" w:oddHBand="0" w:evenHBand="0" w:firstRowFirstColumn="0" w:firstRowLastColumn="0" w:lastRowFirstColumn="0" w:lastRowLastColumn="0"/>
            </w:pPr>
            <w:r>
              <w:rPr>
                <w:lang w:eastAsia="en-GB"/>
              </w:rPr>
              <w:t>Procedure</w:t>
            </w:r>
          </w:p>
        </w:tc>
      </w:tr>
      <w:tr w:rsidR="00903021" w:rsidRPr="009A16E0" w14:paraId="539924A8"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7DEF6C91" w14:textId="77777777" w:rsidR="00903021" w:rsidRPr="009A16E0" w:rsidRDefault="00903021" w:rsidP="00903021">
            <w:pPr>
              <w:pStyle w:val="BodyText"/>
            </w:pPr>
            <w:r>
              <w:t>1.FV.87</w:t>
            </w:r>
          </w:p>
        </w:tc>
        <w:tc>
          <w:tcPr>
            <w:tcW w:w="5777" w:type="dxa"/>
          </w:tcPr>
          <w:p w14:paraId="6524E604" w14:textId="77777777" w:rsidR="00903021" w:rsidRPr="009A16E0" w:rsidRDefault="00903021" w:rsidP="00903021">
            <w:pPr>
              <w:pStyle w:val="BodyText"/>
              <w:cnfStyle w:val="000000100000" w:firstRow="0" w:lastRow="0" w:firstColumn="0" w:lastColumn="0" w:oddVBand="0" w:evenVBand="0" w:oddHBand="1" w:evenHBand="0" w:firstRowFirstColumn="0" w:firstRowLastColumn="0" w:lastRowFirstColumn="0" w:lastRowLastColumn="0"/>
            </w:pPr>
            <w:r w:rsidRPr="009A16E0">
              <w:t>Parathyroidectomy (full/partial)</w:t>
            </w:r>
          </w:p>
        </w:tc>
      </w:tr>
      <w:tr w:rsidR="00903021" w:rsidRPr="009A16E0" w14:paraId="2AB1B9C6" w14:textId="77777777" w:rsidTr="00903021">
        <w:tc>
          <w:tcPr>
            <w:cnfStyle w:val="001000000000" w:firstRow="0" w:lastRow="0" w:firstColumn="1" w:lastColumn="0" w:oddVBand="0" w:evenVBand="0" w:oddHBand="0" w:evenHBand="0" w:firstRowFirstColumn="0" w:firstRowLastColumn="0" w:lastRowFirstColumn="0" w:lastRowLastColumn="0"/>
            <w:tcW w:w="3230" w:type="dxa"/>
          </w:tcPr>
          <w:p w14:paraId="35202EE1" w14:textId="77777777" w:rsidR="00903021" w:rsidRPr="009A16E0" w:rsidRDefault="00903021" w:rsidP="00903021">
            <w:pPr>
              <w:pStyle w:val="BodyText"/>
            </w:pPr>
            <w:r>
              <w:t>1.</w:t>
            </w:r>
            <w:r w:rsidRPr="009A16E0">
              <w:t>FV.89</w:t>
            </w:r>
          </w:p>
        </w:tc>
        <w:tc>
          <w:tcPr>
            <w:tcW w:w="5777" w:type="dxa"/>
          </w:tcPr>
          <w:p w14:paraId="2EB32C28" w14:textId="77777777" w:rsidR="00903021" w:rsidRPr="009A16E0" w:rsidRDefault="00903021" w:rsidP="00903021">
            <w:pPr>
              <w:pStyle w:val="BodyText"/>
              <w:cnfStyle w:val="000000000000" w:firstRow="0" w:lastRow="0" w:firstColumn="0" w:lastColumn="0" w:oddVBand="0" w:evenVBand="0" w:oddHBand="0" w:evenHBand="0" w:firstRowFirstColumn="0" w:firstRowLastColumn="0" w:lastRowFirstColumn="0" w:lastRowLastColumn="0"/>
            </w:pPr>
            <w:r w:rsidRPr="009A16E0">
              <w:t>Parathyroidectomy (full/partial)</w:t>
            </w:r>
          </w:p>
        </w:tc>
      </w:tr>
      <w:tr w:rsidR="00903021" w:rsidRPr="009A16E0" w14:paraId="050A61A1"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7F30A017" w14:textId="77777777" w:rsidR="00903021" w:rsidRPr="009A16E0" w:rsidRDefault="00903021" w:rsidP="00903021">
            <w:pPr>
              <w:pStyle w:val="BodyText"/>
            </w:pPr>
            <w:r w:rsidRPr="009A16E0">
              <w:t>1.FV.</w:t>
            </w:r>
            <w:proofErr w:type="gramStart"/>
            <w:r w:rsidRPr="009A16E0">
              <w:t>59.^</w:t>
            </w:r>
            <w:proofErr w:type="gramEnd"/>
            <w:r w:rsidRPr="009A16E0">
              <w:t xml:space="preserve">^ </w:t>
            </w:r>
          </w:p>
        </w:tc>
        <w:tc>
          <w:tcPr>
            <w:tcW w:w="5777" w:type="dxa"/>
          </w:tcPr>
          <w:p w14:paraId="077A9748" w14:textId="77777777" w:rsidR="00903021" w:rsidRPr="009A16E0" w:rsidRDefault="00903021" w:rsidP="00903021">
            <w:pPr>
              <w:pStyle w:val="BodyText"/>
              <w:cnfStyle w:val="000000100000" w:firstRow="0" w:lastRow="0" w:firstColumn="0" w:lastColumn="0" w:oddVBand="0" w:evenVBand="0" w:oddHBand="1" w:evenHBand="0" w:firstRowFirstColumn="0" w:firstRowLastColumn="0" w:lastRowFirstColumn="0" w:lastRowLastColumn="0"/>
            </w:pPr>
            <w:r w:rsidRPr="009A16E0">
              <w:t>Parathyroid Destruction</w:t>
            </w:r>
          </w:p>
        </w:tc>
      </w:tr>
      <w:bookmarkEnd w:id="60"/>
    </w:tbl>
    <w:p w14:paraId="69F75187" w14:textId="77777777" w:rsidR="00903021" w:rsidRDefault="00903021" w:rsidP="002619EF">
      <w:pPr>
        <w:rPr>
          <w:b/>
          <w:bCs/>
          <w:sz w:val="22"/>
          <w:szCs w:val="22"/>
        </w:rPr>
      </w:pPr>
    </w:p>
    <w:p w14:paraId="7CBA00D1" w14:textId="7B43BBD5" w:rsidR="002619EF" w:rsidRPr="002619EF" w:rsidRDefault="00903021" w:rsidP="002619EF">
      <w:pPr>
        <w:rPr>
          <w:b/>
          <w:bCs/>
          <w:sz w:val="22"/>
          <w:szCs w:val="22"/>
        </w:rPr>
      </w:pPr>
      <w:r>
        <w:rPr>
          <w:b/>
          <w:bCs/>
          <w:sz w:val="22"/>
          <w:szCs w:val="22"/>
        </w:rPr>
        <w:t xml:space="preserve">Table 5: </w:t>
      </w:r>
      <w:r w:rsidR="002619EF" w:rsidRPr="002619EF">
        <w:rPr>
          <w:b/>
          <w:bCs/>
          <w:sz w:val="22"/>
          <w:szCs w:val="22"/>
        </w:rPr>
        <w:t>Poorly controlled hypoparathyroidism diagnosis codes I</w:t>
      </w:r>
      <w:bookmarkEnd w:id="59"/>
    </w:p>
    <w:p w14:paraId="35E2D3AF" w14:textId="59DFBC5C" w:rsidR="00EA2E25" w:rsidRDefault="00EA2E25" w:rsidP="00075EE0">
      <w:pPr>
        <w:rPr>
          <w:sz w:val="14"/>
        </w:rPr>
      </w:pPr>
    </w:p>
    <w:tbl>
      <w:tblPr>
        <w:tblStyle w:val="LightList-Accent11"/>
        <w:tblW w:w="0" w:type="auto"/>
        <w:tblLook w:val="04A0" w:firstRow="1" w:lastRow="0" w:firstColumn="1" w:lastColumn="0" w:noHBand="0" w:noVBand="1"/>
      </w:tblPr>
      <w:tblGrid>
        <w:gridCol w:w="3320"/>
        <w:gridCol w:w="5670"/>
      </w:tblGrid>
      <w:tr w:rsidR="002619EF" w14:paraId="669F3D8A" w14:textId="77777777" w:rsidTr="00261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57D0FF5B" w14:textId="77777777" w:rsidR="002619EF" w:rsidRPr="00543265" w:rsidRDefault="002619EF" w:rsidP="002619EF">
            <w:pPr>
              <w:rPr>
                <w:b w:val="0"/>
                <w:bCs w:val="0"/>
                <w:lang w:eastAsia="en-GB"/>
              </w:rPr>
            </w:pPr>
            <w:r>
              <w:rPr>
                <w:lang w:eastAsia="en-GB"/>
              </w:rPr>
              <w:t>ICD-10 code</w:t>
            </w:r>
          </w:p>
        </w:tc>
        <w:tc>
          <w:tcPr>
            <w:tcW w:w="5670" w:type="dxa"/>
          </w:tcPr>
          <w:p w14:paraId="07E13AF3" w14:textId="77777777" w:rsidR="002619EF" w:rsidRPr="00543265" w:rsidRDefault="002619EF" w:rsidP="002619EF">
            <w:pPr>
              <w:pStyle w:val="BodyText"/>
              <w:cnfStyle w:val="100000000000" w:firstRow="1" w:lastRow="0" w:firstColumn="0" w:lastColumn="0" w:oddVBand="0" w:evenVBand="0" w:oddHBand="0" w:evenHBand="0" w:firstRowFirstColumn="0" w:firstRowLastColumn="0" w:lastRowFirstColumn="0" w:lastRowLastColumn="0"/>
              <w:rPr>
                <w:b w:val="0"/>
                <w:bCs w:val="0"/>
                <w:lang w:eastAsia="en-GB"/>
              </w:rPr>
            </w:pPr>
            <w:r>
              <w:rPr>
                <w:lang w:eastAsia="en-GB"/>
              </w:rPr>
              <w:t>Diagnosis</w:t>
            </w:r>
          </w:p>
        </w:tc>
      </w:tr>
      <w:tr w:rsidR="002619EF" w14:paraId="7B8497AD"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0608B8FE" w14:textId="77777777" w:rsidR="002619EF" w:rsidRDefault="002619EF" w:rsidP="002619EF">
            <w:pPr>
              <w:pStyle w:val="BodyText"/>
              <w:rPr>
                <w:lang w:eastAsia="en-GB"/>
              </w:rPr>
            </w:pPr>
            <w:r>
              <w:rPr>
                <w:lang w:eastAsia="en-GB"/>
              </w:rPr>
              <w:t>N</w:t>
            </w:r>
            <w:proofErr w:type="gramStart"/>
            <w:r>
              <w:rPr>
                <w:lang w:eastAsia="en-GB"/>
              </w:rPr>
              <w:t>17.^</w:t>
            </w:r>
            <w:proofErr w:type="gramEnd"/>
          </w:p>
        </w:tc>
        <w:tc>
          <w:tcPr>
            <w:tcW w:w="5670" w:type="dxa"/>
          </w:tcPr>
          <w:p w14:paraId="17ADA44B" w14:textId="77777777" w:rsidR="002619EF" w:rsidRDefault="002619EF" w:rsidP="002619EF">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543265">
              <w:t>Acute renal failure</w:t>
            </w:r>
          </w:p>
        </w:tc>
      </w:tr>
      <w:tr w:rsidR="002619EF" w14:paraId="1A5D7E63" w14:textId="77777777" w:rsidTr="002619EF">
        <w:tc>
          <w:tcPr>
            <w:cnfStyle w:val="001000000000" w:firstRow="0" w:lastRow="0" w:firstColumn="1" w:lastColumn="0" w:oddVBand="0" w:evenVBand="0" w:oddHBand="0" w:evenHBand="0" w:firstRowFirstColumn="0" w:firstRowLastColumn="0" w:lastRowFirstColumn="0" w:lastRowLastColumn="0"/>
            <w:tcW w:w="3320" w:type="dxa"/>
          </w:tcPr>
          <w:p w14:paraId="28BBBE29" w14:textId="77777777" w:rsidR="002619EF" w:rsidRDefault="002619EF" w:rsidP="002619EF">
            <w:pPr>
              <w:pStyle w:val="BodyText"/>
              <w:rPr>
                <w:lang w:eastAsia="en-GB"/>
              </w:rPr>
            </w:pPr>
            <w:r w:rsidRPr="003059F7">
              <w:rPr>
                <w:lang w:eastAsia="en-GB"/>
              </w:rPr>
              <w:t>N19</w:t>
            </w:r>
          </w:p>
        </w:tc>
        <w:tc>
          <w:tcPr>
            <w:tcW w:w="5670" w:type="dxa"/>
          </w:tcPr>
          <w:p w14:paraId="457AFD8A" w14:textId="77777777" w:rsidR="002619EF" w:rsidRDefault="002619EF" w:rsidP="002619EF">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543265">
              <w:t>Acute renal failure</w:t>
            </w:r>
          </w:p>
        </w:tc>
      </w:tr>
      <w:tr w:rsidR="002619EF" w14:paraId="71DA0CC2"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0FC65AFC" w14:textId="77777777" w:rsidR="002619EF" w:rsidRDefault="002619EF" w:rsidP="002619EF">
            <w:pPr>
              <w:pStyle w:val="BodyText"/>
              <w:rPr>
                <w:lang w:eastAsia="en-GB"/>
              </w:rPr>
            </w:pPr>
            <w:r>
              <w:rPr>
                <w:lang w:eastAsia="en-GB"/>
              </w:rPr>
              <w:t>N</w:t>
            </w:r>
            <w:proofErr w:type="gramStart"/>
            <w:r>
              <w:rPr>
                <w:lang w:eastAsia="en-GB"/>
              </w:rPr>
              <w:t>20.^</w:t>
            </w:r>
            <w:proofErr w:type="gramEnd"/>
          </w:p>
        </w:tc>
        <w:tc>
          <w:tcPr>
            <w:tcW w:w="5670" w:type="dxa"/>
          </w:tcPr>
          <w:p w14:paraId="479D1FCE" w14:textId="77777777" w:rsidR="002619EF" w:rsidRPr="00543265" w:rsidRDefault="002619EF" w:rsidP="002619EF">
            <w:pPr>
              <w:cnfStyle w:val="000000100000" w:firstRow="0" w:lastRow="0" w:firstColumn="0" w:lastColumn="0" w:oddVBand="0" w:evenVBand="0" w:oddHBand="1" w:evenHBand="0" w:firstRowFirstColumn="0" w:firstRowLastColumn="0" w:lastRowFirstColumn="0" w:lastRowLastColumn="0"/>
              <w:rPr>
                <w:rFonts w:ascii="Verdana" w:hAnsi="Verdana"/>
                <w:sz w:val="18"/>
                <w:szCs w:val="24"/>
                <w:lang w:eastAsia="en-GB"/>
              </w:rPr>
            </w:pPr>
            <w:proofErr w:type="spellStart"/>
            <w:r w:rsidRPr="00543265">
              <w:t>Nephrocalcinosis</w:t>
            </w:r>
            <w:proofErr w:type="spellEnd"/>
            <w:r w:rsidRPr="00543265">
              <w:t>/ renal stones</w:t>
            </w:r>
          </w:p>
        </w:tc>
      </w:tr>
      <w:tr w:rsidR="002619EF" w14:paraId="57A27BF3" w14:textId="77777777" w:rsidTr="002619EF">
        <w:tc>
          <w:tcPr>
            <w:cnfStyle w:val="001000000000" w:firstRow="0" w:lastRow="0" w:firstColumn="1" w:lastColumn="0" w:oddVBand="0" w:evenVBand="0" w:oddHBand="0" w:evenHBand="0" w:firstRowFirstColumn="0" w:firstRowLastColumn="0" w:lastRowFirstColumn="0" w:lastRowLastColumn="0"/>
            <w:tcW w:w="3320" w:type="dxa"/>
          </w:tcPr>
          <w:p w14:paraId="55285008" w14:textId="77777777" w:rsidR="002619EF" w:rsidRDefault="002619EF" w:rsidP="002619EF">
            <w:pPr>
              <w:pStyle w:val="BodyText"/>
              <w:rPr>
                <w:lang w:eastAsia="en-GB"/>
              </w:rPr>
            </w:pPr>
            <w:r>
              <w:rPr>
                <w:lang w:eastAsia="en-GB"/>
              </w:rPr>
              <w:t>N</w:t>
            </w:r>
            <w:proofErr w:type="gramStart"/>
            <w:r>
              <w:rPr>
                <w:lang w:eastAsia="en-GB"/>
              </w:rPr>
              <w:t>21.^</w:t>
            </w:r>
            <w:proofErr w:type="gramEnd"/>
          </w:p>
        </w:tc>
        <w:tc>
          <w:tcPr>
            <w:tcW w:w="5670" w:type="dxa"/>
          </w:tcPr>
          <w:p w14:paraId="06932FEE" w14:textId="77777777" w:rsidR="002619EF" w:rsidRPr="00543265" w:rsidRDefault="002619EF" w:rsidP="002619EF">
            <w:pPr>
              <w:cnfStyle w:val="000000000000" w:firstRow="0" w:lastRow="0" w:firstColumn="0" w:lastColumn="0" w:oddVBand="0" w:evenVBand="0" w:oddHBand="0" w:evenHBand="0" w:firstRowFirstColumn="0" w:firstRowLastColumn="0" w:lastRowFirstColumn="0" w:lastRowLastColumn="0"/>
              <w:rPr>
                <w:rFonts w:ascii="Verdana" w:hAnsi="Verdana"/>
                <w:sz w:val="18"/>
                <w:szCs w:val="24"/>
                <w:lang w:eastAsia="en-GB"/>
              </w:rPr>
            </w:pPr>
            <w:proofErr w:type="spellStart"/>
            <w:r w:rsidRPr="00543265">
              <w:t>Nephrocalcinosis</w:t>
            </w:r>
            <w:proofErr w:type="spellEnd"/>
            <w:r w:rsidRPr="00543265">
              <w:t>/ renal stones</w:t>
            </w:r>
          </w:p>
        </w:tc>
      </w:tr>
      <w:tr w:rsidR="002619EF" w14:paraId="2F36FE18"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0F7A05DA" w14:textId="77777777" w:rsidR="002619EF" w:rsidRDefault="002619EF" w:rsidP="002619EF">
            <w:pPr>
              <w:pStyle w:val="BodyText"/>
              <w:rPr>
                <w:lang w:eastAsia="en-GB"/>
              </w:rPr>
            </w:pPr>
            <w:r w:rsidRPr="003059F7">
              <w:rPr>
                <w:lang w:eastAsia="en-GB"/>
              </w:rPr>
              <w:t>N</w:t>
            </w:r>
            <w:proofErr w:type="gramStart"/>
            <w:r w:rsidRPr="003059F7">
              <w:rPr>
                <w:lang w:eastAsia="en-GB"/>
              </w:rPr>
              <w:t>22.^</w:t>
            </w:r>
            <w:proofErr w:type="gramEnd"/>
          </w:p>
        </w:tc>
        <w:tc>
          <w:tcPr>
            <w:tcW w:w="5670" w:type="dxa"/>
          </w:tcPr>
          <w:p w14:paraId="573F373D" w14:textId="77777777" w:rsidR="002619EF" w:rsidRDefault="002619EF" w:rsidP="002619EF">
            <w:pPr>
              <w:pStyle w:val="BodyText"/>
              <w:cnfStyle w:val="000000100000" w:firstRow="0" w:lastRow="0" w:firstColumn="0" w:lastColumn="0" w:oddVBand="0" w:evenVBand="0" w:oddHBand="1" w:evenHBand="0" w:firstRowFirstColumn="0" w:firstRowLastColumn="0" w:lastRowFirstColumn="0" w:lastRowLastColumn="0"/>
              <w:rPr>
                <w:lang w:eastAsia="en-GB"/>
              </w:rPr>
            </w:pPr>
            <w:proofErr w:type="spellStart"/>
            <w:r w:rsidRPr="00543265">
              <w:t>Nephrocalcinosis</w:t>
            </w:r>
            <w:proofErr w:type="spellEnd"/>
            <w:r w:rsidRPr="00543265">
              <w:t>/ renal stones</w:t>
            </w:r>
          </w:p>
        </w:tc>
      </w:tr>
      <w:tr w:rsidR="002619EF" w14:paraId="500D6676" w14:textId="77777777" w:rsidTr="002619EF">
        <w:tc>
          <w:tcPr>
            <w:cnfStyle w:val="001000000000" w:firstRow="0" w:lastRow="0" w:firstColumn="1" w:lastColumn="0" w:oddVBand="0" w:evenVBand="0" w:oddHBand="0" w:evenHBand="0" w:firstRowFirstColumn="0" w:firstRowLastColumn="0" w:lastRowFirstColumn="0" w:lastRowLastColumn="0"/>
            <w:tcW w:w="3320" w:type="dxa"/>
          </w:tcPr>
          <w:p w14:paraId="6BBEBDE0" w14:textId="77777777" w:rsidR="002619EF" w:rsidRDefault="002619EF" w:rsidP="002619EF">
            <w:pPr>
              <w:pStyle w:val="BodyText"/>
              <w:rPr>
                <w:lang w:eastAsia="en-GB"/>
              </w:rPr>
            </w:pPr>
            <w:r>
              <w:rPr>
                <w:lang w:eastAsia="en-GB"/>
              </w:rPr>
              <w:t>F05.8</w:t>
            </w:r>
          </w:p>
        </w:tc>
        <w:tc>
          <w:tcPr>
            <w:tcW w:w="5670" w:type="dxa"/>
          </w:tcPr>
          <w:p w14:paraId="0F872E71" w14:textId="77777777" w:rsidR="002619EF" w:rsidRDefault="002619EF" w:rsidP="002619EF">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543265">
              <w:t>Delirium</w:t>
            </w:r>
          </w:p>
        </w:tc>
      </w:tr>
      <w:tr w:rsidR="002619EF" w14:paraId="0450B3F5"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2D20ACA9" w14:textId="77777777" w:rsidR="002619EF" w:rsidRPr="003059F7" w:rsidRDefault="002619EF" w:rsidP="002619EF">
            <w:pPr>
              <w:pStyle w:val="BodyText"/>
              <w:rPr>
                <w:lang w:eastAsia="en-GB"/>
              </w:rPr>
            </w:pPr>
            <w:r w:rsidRPr="003059F7">
              <w:rPr>
                <w:lang w:eastAsia="en-GB"/>
              </w:rPr>
              <w:t>F05.9</w:t>
            </w:r>
          </w:p>
        </w:tc>
        <w:tc>
          <w:tcPr>
            <w:tcW w:w="5670" w:type="dxa"/>
          </w:tcPr>
          <w:p w14:paraId="598CA988" w14:textId="77777777" w:rsidR="002619EF" w:rsidRPr="00543265" w:rsidRDefault="002619EF" w:rsidP="002619EF">
            <w:pPr>
              <w:pStyle w:val="BodyText"/>
              <w:cnfStyle w:val="000000100000" w:firstRow="0" w:lastRow="0" w:firstColumn="0" w:lastColumn="0" w:oddVBand="0" w:evenVBand="0" w:oddHBand="1" w:evenHBand="0" w:firstRowFirstColumn="0" w:firstRowLastColumn="0" w:lastRowFirstColumn="0" w:lastRowLastColumn="0"/>
            </w:pPr>
            <w:r w:rsidRPr="00543265">
              <w:t>Delirium</w:t>
            </w:r>
          </w:p>
        </w:tc>
      </w:tr>
      <w:tr w:rsidR="002619EF" w14:paraId="5444FA28" w14:textId="77777777" w:rsidTr="002619EF">
        <w:tc>
          <w:tcPr>
            <w:cnfStyle w:val="001000000000" w:firstRow="0" w:lastRow="0" w:firstColumn="1" w:lastColumn="0" w:oddVBand="0" w:evenVBand="0" w:oddHBand="0" w:evenHBand="0" w:firstRowFirstColumn="0" w:firstRowLastColumn="0" w:lastRowFirstColumn="0" w:lastRowLastColumn="0"/>
            <w:tcW w:w="3320" w:type="dxa"/>
          </w:tcPr>
          <w:p w14:paraId="2714608C" w14:textId="77777777" w:rsidR="002619EF" w:rsidRDefault="002619EF" w:rsidP="002619EF">
            <w:pPr>
              <w:pStyle w:val="BodyText"/>
              <w:rPr>
                <w:lang w:eastAsia="en-GB"/>
              </w:rPr>
            </w:pPr>
            <w:r w:rsidRPr="003059F7">
              <w:rPr>
                <w:lang w:eastAsia="en-GB"/>
              </w:rPr>
              <w:t>G23.8</w:t>
            </w:r>
          </w:p>
        </w:tc>
        <w:tc>
          <w:tcPr>
            <w:tcW w:w="5670" w:type="dxa"/>
          </w:tcPr>
          <w:p w14:paraId="53C8AA95" w14:textId="77777777" w:rsidR="002619EF" w:rsidRDefault="002619EF" w:rsidP="002619EF">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543265">
              <w:t>Basal ganglia calcification</w:t>
            </w:r>
          </w:p>
        </w:tc>
      </w:tr>
      <w:tr w:rsidR="002619EF" w14:paraId="00F24719"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753DBD2D" w14:textId="77777777" w:rsidR="002619EF" w:rsidRDefault="002619EF" w:rsidP="002619EF">
            <w:pPr>
              <w:pStyle w:val="BodyText"/>
              <w:rPr>
                <w:lang w:eastAsia="en-GB"/>
              </w:rPr>
            </w:pPr>
            <w:r w:rsidRPr="003059F7">
              <w:rPr>
                <w:lang w:eastAsia="en-GB"/>
              </w:rPr>
              <w:t>R29.0</w:t>
            </w:r>
          </w:p>
        </w:tc>
        <w:tc>
          <w:tcPr>
            <w:tcW w:w="5670" w:type="dxa"/>
          </w:tcPr>
          <w:p w14:paraId="5C8F4FB9" w14:textId="77777777" w:rsidR="002619EF" w:rsidRDefault="002619EF" w:rsidP="002619EF">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543265">
              <w:t>Tetany</w:t>
            </w:r>
          </w:p>
        </w:tc>
      </w:tr>
      <w:tr w:rsidR="002619EF" w14:paraId="1BB26824" w14:textId="77777777" w:rsidTr="002619EF">
        <w:tc>
          <w:tcPr>
            <w:cnfStyle w:val="001000000000" w:firstRow="0" w:lastRow="0" w:firstColumn="1" w:lastColumn="0" w:oddVBand="0" w:evenVBand="0" w:oddHBand="0" w:evenHBand="0" w:firstRowFirstColumn="0" w:firstRowLastColumn="0" w:lastRowFirstColumn="0" w:lastRowLastColumn="0"/>
            <w:tcW w:w="3320" w:type="dxa"/>
          </w:tcPr>
          <w:p w14:paraId="699E4A38" w14:textId="77777777" w:rsidR="002619EF" w:rsidRDefault="002619EF" w:rsidP="002619EF">
            <w:pPr>
              <w:pStyle w:val="BodyText"/>
              <w:rPr>
                <w:lang w:eastAsia="en-GB"/>
              </w:rPr>
            </w:pPr>
            <w:r>
              <w:rPr>
                <w:lang w:eastAsia="en-GB"/>
              </w:rPr>
              <w:t>G</w:t>
            </w:r>
            <w:proofErr w:type="gramStart"/>
            <w:r>
              <w:rPr>
                <w:lang w:eastAsia="en-GB"/>
              </w:rPr>
              <w:t>40.^</w:t>
            </w:r>
            <w:proofErr w:type="gramEnd"/>
            <w:r>
              <w:rPr>
                <w:lang w:eastAsia="en-GB"/>
              </w:rPr>
              <w:t>^</w:t>
            </w:r>
          </w:p>
        </w:tc>
        <w:tc>
          <w:tcPr>
            <w:tcW w:w="5670" w:type="dxa"/>
          </w:tcPr>
          <w:p w14:paraId="789232C3" w14:textId="77777777" w:rsidR="002619EF" w:rsidRDefault="002619EF" w:rsidP="002619EF">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543265">
              <w:t>Seizure/ epilepsy</w:t>
            </w:r>
          </w:p>
        </w:tc>
      </w:tr>
      <w:tr w:rsidR="002619EF" w14:paraId="32A67A7F"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2651E5F3" w14:textId="77777777" w:rsidR="002619EF" w:rsidRPr="003059F7" w:rsidRDefault="002619EF" w:rsidP="002619EF">
            <w:pPr>
              <w:pStyle w:val="BodyText"/>
              <w:rPr>
                <w:lang w:eastAsia="en-GB"/>
              </w:rPr>
            </w:pPr>
            <w:r w:rsidRPr="003059F7">
              <w:rPr>
                <w:lang w:eastAsia="en-GB"/>
              </w:rPr>
              <w:t>G</w:t>
            </w:r>
            <w:proofErr w:type="gramStart"/>
            <w:r w:rsidRPr="003059F7">
              <w:rPr>
                <w:lang w:eastAsia="en-GB"/>
              </w:rPr>
              <w:t>41.^</w:t>
            </w:r>
            <w:proofErr w:type="gramEnd"/>
            <w:r w:rsidRPr="003059F7">
              <w:rPr>
                <w:lang w:eastAsia="en-GB"/>
              </w:rPr>
              <w:t>^</w:t>
            </w:r>
          </w:p>
        </w:tc>
        <w:tc>
          <w:tcPr>
            <w:tcW w:w="5670" w:type="dxa"/>
          </w:tcPr>
          <w:p w14:paraId="2EEF6FF3" w14:textId="77777777" w:rsidR="002619EF" w:rsidRPr="00543265" w:rsidRDefault="002619EF" w:rsidP="002619EF">
            <w:pPr>
              <w:pStyle w:val="BodyText"/>
              <w:cnfStyle w:val="000000100000" w:firstRow="0" w:lastRow="0" w:firstColumn="0" w:lastColumn="0" w:oddVBand="0" w:evenVBand="0" w:oddHBand="1" w:evenHBand="0" w:firstRowFirstColumn="0" w:firstRowLastColumn="0" w:lastRowFirstColumn="0" w:lastRowLastColumn="0"/>
            </w:pPr>
            <w:r w:rsidRPr="00543265">
              <w:t>Seizure/ epilepsy</w:t>
            </w:r>
          </w:p>
        </w:tc>
      </w:tr>
      <w:tr w:rsidR="002619EF" w14:paraId="0357F1BC" w14:textId="77777777" w:rsidTr="002619EF">
        <w:tc>
          <w:tcPr>
            <w:cnfStyle w:val="001000000000" w:firstRow="0" w:lastRow="0" w:firstColumn="1" w:lastColumn="0" w:oddVBand="0" w:evenVBand="0" w:oddHBand="0" w:evenHBand="0" w:firstRowFirstColumn="0" w:firstRowLastColumn="0" w:lastRowFirstColumn="0" w:lastRowLastColumn="0"/>
            <w:tcW w:w="3320" w:type="dxa"/>
          </w:tcPr>
          <w:p w14:paraId="37B61CF9" w14:textId="77777777" w:rsidR="002619EF" w:rsidRDefault="002619EF" w:rsidP="002619EF">
            <w:pPr>
              <w:pStyle w:val="BodyText"/>
              <w:rPr>
                <w:lang w:eastAsia="en-GB"/>
              </w:rPr>
            </w:pPr>
            <w:r>
              <w:rPr>
                <w:lang w:eastAsia="en-GB"/>
              </w:rPr>
              <w:t>H</w:t>
            </w:r>
            <w:proofErr w:type="gramStart"/>
            <w:r>
              <w:rPr>
                <w:lang w:eastAsia="en-GB"/>
              </w:rPr>
              <w:t>25.^</w:t>
            </w:r>
            <w:proofErr w:type="gramEnd"/>
          </w:p>
        </w:tc>
        <w:tc>
          <w:tcPr>
            <w:tcW w:w="5670" w:type="dxa"/>
          </w:tcPr>
          <w:p w14:paraId="60825732" w14:textId="77777777" w:rsidR="002619EF" w:rsidRDefault="002619EF" w:rsidP="002619EF">
            <w:pPr>
              <w:pStyle w:val="BodyText"/>
              <w:cnfStyle w:val="000000000000" w:firstRow="0" w:lastRow="0" w:firstColumn="0" w:lastColumn="0" w:oddVBand="0" w:evenVBand="0" w:oddHBand="0" w:evenHBand="0" w:firstRowFirstColumn="0" w:firstRowLastColumn="0" w:lastRowFirstColumn="0" w:lastRowLastColumn="0"/>
              <w:rPr>
                <w:lang w:eastAsia="en-GB"/>
              </w:rPr>
            </w:pPr>
            <w:r>
              <w:t>Senile/age related</w:t>
            </w:r>
            <w:r w:rsidRPr="00543265">
              <w:t xml:space="preserve"> cataract</w:t>
            </w:r>
          </w:p>
        </w:tc>
      </w:tr>
      <w:tr w:rsidR="002619EF" w14:paraId="3A7F6F2C"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5FE1613B" w14:textId="77777777" w:rsidR="002619EF" w:rsidRPr="00543265" w:rsidRDefault="002619EF" w:rsidP="002619EF">
            <w:pPr>
              <w:pStyle w:val="BodyText"/>
              <w:rPr>
                <w:lang w:eastAsia="en-GB"/>
              </w:rPr>
            </w:pPr>
            <w:r>
              <w:rPr>
                <w:lang w:eastAsia="en-GB"/>
              </w:rPr>
              <w:t>H26.0</w:t>
            </w:r>
          </w:p>
        </w:tc>
        <w:tc>
          <w:tcPr>
            <w:tcW w:w="5670" w:type="dxa"/>
          </w:tcPr>
          <w:p w14:paraId="645C0D84" w14:textId="77777777" w:rsidR="002619EF" w:rsidRPr="00543265" w:rsidRDefault="002619EF" w:rsidP="002619EF">
            <w:pPr>
              <w:pStyle w:val="BodyText"/>
              <w:cnfStyle w:val="000000100000" w:firstRow="0" w:lastRow="0" w:firstColumn="0" w:lastColumn="0" w:oddVBand="0" w:evenVBand="0" w:oddHBand="1" w:evenHBand="0" w:firstRowFirstColumn="0" w:firstRowLastColumn="0" w:lastRowFirstColumn="0" w:lastRowLastColumn="0"/>
            </w:pPr>
            <w:r>
              <w:t>d</w:t>
            </w:r>
            <w:r w:rsidRPr="00543265">
              <w:t>rug induced cataract</w:t>
            </w:r>
            <w:r>
              <w:t xml:space="preserve"> [I</w:t>
            </w:r>
            <w:r w:rsidRPr="00543265">
              <w:t>nfantile</w:t>
            </w:r>
            <w:r>
              <w:t xml:space="preserve"> </w:t>
            </w:r>
            <w:r w:rsidRPr="003059F7">
              <w:t>and juvenile</w:t>
            </w:r>
            <w:r w:rsidRPr="00543265">
              <w:t xml:space="preserve"> cataract</w:t>
            </w:r>
            <w:r>
              <w:t>]</w:t>
            </w:r>
          </w:p>
        </w:tc>
      </w:tr>
      <w:tr w:rsidR="002619EF" w14:paraId="53FED0B7" w14:textId="77777777" w:rsidTr="002619EF">
        <w:tc>
          <w:tcPr>
            <w:cnfStyle w:val="001000000000" w:firstRow="0" w:lastRow="0" w:firstColumn="1" w:lastColumn="0" w:oddVBand="0" w:evenVBand="0" w:oddHBand="0" w:evenHBand="0" w:firstRowFirstColumn="0" w:firstRowLastColumn="0" w:lastRowFirstColumn="0" w:lastRowLastColumn="0"/>
            <w:tcW w:w="3320" w:type="dxa"/>
          </w:tcPr>
          <w:p w14:paraId="45D8CC3E" w14:textId="77777777" w:rsidR="002619EF" w:rsidRPr="003059F7" w:rsidRDefault="002619EF" w:rsidP="002619EF">
            <w:pPr>
              <w:pStyle w:val="BodyText"/>
              <w:rPr>
                <w:b w:val="0"/>
                <w:lang w:eastAsia="en-GB"/>
              </w:rPr>
            </w:pPr>
            <w:r>
              <w:rPr>
                <w:lang w:eastAsia="en-GB"/>
              </w:rPr>
              <w:t>H26.2</w:t>
            </w:r>
          </w:p>
        </w:tc>
        <w:tc>
          <w:tcPr>
            <w:tcW w:w="5670" w:type="dxa"/>
          </w:tcPr>
          <w:p w14:paraId="29203786" w14:textId="77777777" w:rsidR="002619EF" w:rsidRPr="00543265" w:rsidRDefault="002619EF" w:rsidP="002619EF">
            <w:pPr>
              <w:pStyle w:val="BodyText"/>
              <w:cnfStyle w:val="000000000000" w:firstRow="0" w:lastRow="0" w:firstColumn="0" w:lastColumn="0" w:oddVBand="0" w:evenVBand="0" w:oddHBand="0" w:evenHBand="0" w:firstRowFirstColumn="0" w:firstRowLastColumn="0" w:lastRowFirstColumn="0" w:lastRowLastColumn="0"/>
            </w:pPr>
            <w:r>
              <w:t>I</w:t>
            </w:r>
            <w:r w:rsidRPr="00543265">
              <w:t>nfantile</w:t>
            </w:r>
            <w:r>
              <w:t xml:space="preserve"> </w:t>
            </w:r>
            <w:r w:rsidRPr="003059F7">
              <w:t>and juvenile</w:t>
            </w:r>
            <w:r w:rsidRPr="00543265">
              <w:t xml:space="preserve"> cataract</w:t>
            </w:r>
            <w:r>
              <w:t xml:space="preserve"> [C</w:t>
            </w:r>
            <w:r w:rsidRPr="00543265">
              <w:t>omplicated cataract</w:t>
            </w:r>
            <w:r>
              <w:t>]</w:t>
            </w:r>
          </w:p>
        </w:tc>
      </w:tr>
      <w:tr w:rsidR="002619EF" w14:paraId="118B003C"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7199EFCB" w14:textId="77777777" w:rsidR="002619EF" w:rsidRPr="00543265" w:rsidRDefault="002619EF" w:rsidP="002619EF">
            <w:pPr>
              <w:pStyle w:val="BodyText"/>
              <w:rPr>
                <w:lang w:eastAsia="en-GB"/>
              </w:rPr>
            </w:pPr>
            <w:r>
              <w:rPr>
                <w:lang w:eastAsia="en-GB"/>
              </w:rPr>
              <w:t>H26.3</w:t>
            </w:r>
          </w:p>
        </w:tc>
        <w:tc>
          <w:tcPr>
            <w:tcW w:w="5670" w:type="dxa"/>
          </w:tcPr>
          <w:p w14:paraId="39912D7E" w14:textId="77777777" w:rsidR="002619EF" w:rsidRPr="00543265" w:rsidRDefault="002619EF" w:rsidP="002619EF">
            <w:pPr>
              <w:pStyle w:val="BodyText"/>
              <w:cnfStyle w:val="000000100000" w:firstRow="0" w:lastRow="0" w:firstColumn="0" w:lastColumn="0" w:oddVBand="0" w:evenVBand="0" w:oddHBand="1" w:evenHBand="0" w:firstRowFirstColumn="0" w:firstRowLastColumn="0" w:lastRowFirstColumn="0" w:lastRowLastColumn="0"/>
            </w:pPr>
            <w:r>
              <w:t>C</w:t>
            </w:r>
            <w:r w:rsidRPr="00543265">
              <w:t>omplicated cataract</w:t>
            </w:r>
            <w:r>
              <w:t xml:space="preserve"> [D</w:t>
            </w:r>
            <w:r w:rsidRPr="00543265">
              <w:t>rug induced cataract</w:t>
            </w:r>
            <w:r>
              <w:t>]</w:t>
            </w:r>
          </w:p>
        </w:tc>
      </w:tr>
      <w:tr w:rsidR="002619EF" w14:paraId="2E511384" w14:textId="77777777" w:rsidTr="002619EF">
        <w:tc>
          <w:tcPr>
            <w:cnfStyle w:val="001000000000" w:firstRow="0" w:lastRow="0" w:firstColumn="1" w:lastColumn="0" w:oddVBand="0" w:evenVBand="0" w:oddHBand="0" w:evenHBand="0" w:firstRowFirstColumn="0" w:firstRowLastColumn="0" w:lastRowFirstColumn="0" w:lastRowLastColumn="0"/>
            <w:tcW w:w="3320" w:type="dxa"/>
          </w:tcPr>
          <w:p w14:paraId="1C94BFE3" w14:textId="77777777" w:rsidR="002619EF" w:rsidRPr="00543265" w:rsidRDefault="002619EF" w:rsidP="002619EF">
            <w:pPr>
              <w:pStyle w:val="BodyText"/>
              <w:rPr>
                <w:lang w:eastAsia="en-GB"/>
              </w:rPr>
            </w:pPr>
            <w:r w:rsidRPr="00543265">
              <w:rPr>
                <w:lang w:eastAsia="en-GB"/>
              </w:rPr>
              <w:t>H26.4</w:t>
            </w:r>
          </w:p>
        </w:tc>
        <w:tc>
          <w:tcPr>
            <w:tcW w:w="5670" w:type="dxa"/>
          </w:tcPr>
          <w:p w14:paraId="119222E3" w14:textId="77777777" w:rsidR="002619EF" w:rsidRPr="00543265" w:rsidRDefault="002619EF" w:rsidP="002619EF">
            <w:pPr>
              <w:pStyle w:val="BodyText"/>
              <w:cnfStyle w:val="000000000000" w:firstRow="0" w:lastRow="0" w:firstColumn="0" w:lastColumn="0" w:oddVBand="0" w:evenVBand="0" w:oddHBand="0" w:evenHBand="0" w:firstRowFirstColumn="0" w:firstRowLastColumn="0" w:lastRowFirstColumn="0" w:lastRowLastColumn="0"/>
            </w:pPr>
            <w:r>
              <w:t>Secondary/a</w:t>
            </w:r>
            <w:r w:rsidRPr="00543265">
              <w:t>fter cataract</w:t>
            </w:r>
          </w:p>
        </w:tc>
      </w:tr>
      <w:tr w:rsidR="002619EF" w14:paraId="6EAC71B6"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77667981" w14:textId="77777777" w:rsidR="002619EF" w:rsidRPr="00543265" w:rsidRDefault="002619EF" w:rsidP="002619EF">
            <w:pPr>
              <w:pStyle w:val="BodyText"/>
              <w:rPr>
                <w:lang w:eastAsia="en-GB"/>
              </w:rPr>
            </w:pPr>
            <w:r>
              <w:rPr>
                <w:lang w:eastAsia="en-GB"/>
              </w:rPr>
              <w:t>H26.8</w:t>
            </w:r>
          </w:p>
        </w:tc>
        <w:tc>
          <w:tcPr>
            <w:tcW w:w="5670" w:type="dxa"/>
          </w:tcPr>
          <w:p w14:paraId="31503FCD" w14:textId="77777777" w:rsidR="002619EF" w:rsidRPr="00543265" w:rsidRDefault="002619EF" w:rsidP="002619EF">
            <w:pPr>
              <w:pStyle w:val="BodyText"/>
              <w:cnfStyle w:val="000000100000" w:firstRow="0" w:lastRow="0" w:firstColumn="0" w:lastColumn="0" w:oddVBand="0" w:evenVBand="0" w:oddHBand="1" w:evenHBand="0" w:firstRowFirstColumn="0" w:firstRowLastColumn="0" w:lastRowFirstColumn="0" w:lastRowLastColumn="0"/>
            </w:pPr>
            <w:r>
              <w:t>u</w:t>
            </w:r>
            <w:r w:rsidRPr="00543265">
              <w:t>nspecified cataract</w:t>
            </w:r>
            <w:r>
              <w:t xml:space="preserve"> [</w:t>
            </w:r>
            <w:proofErr w:type="gramStart"/>
            <w:r>
              <w:t>Other</w:t>
            </w:r>
            <w:proofErr w:type="gramEnd"/>
            <w:r>
              <w:t xml:space="preserve"> specified cataract]</w:t>
            </w:r>
          </w:p>
        </w:tc>
      </w:tr>
      <w:tr w:rsidR="002619EF" w14:paraId="0DD8BC2D" w14:textId="77777777" w:rsidTr="002619EF">
        <w:tc>
          <w:tcPr>
            <w:cnfStyle w:val="001000000000" w:firstRow="0" w:lastRow="0" w:firstColumn="1" w:lastColumn="0" w:oddVBand="0" w:evenVBand="0" w:oddHBand="0" w:evenHBand="0" w:firstRowFirstColumn="0" w:firstRowLastColumn="0" w:lastRowFirstColumn="0" w:lastRowLastColumn="0"/>
            <w:tcW w:w="3320" w:type="dxa"/>
          </w:tcPr>
          <w:p w14:paraId="689355F1" w14:textId="77777777" w:rsidR="002619EF" w:rsidRPr="00543265" w:rsidRDefault="002619EF" w:rsidP="002619EF">
            <w:pPr>
              <w:pStyle w:val="BodyText"/>
              <w:rPr>
                <w:lang w:eastAsia="en-GB"/>
              </w:rPr>
            </w:pPr>
            <w:r w:rsidRPr="00543265">
              <w:rPr>
                <w:lang w:eastAsia="en-GB"/>
              </w:rPr>
              <w:t>H26.9</w:t>
            </w:r>
          </w:p>
        </w:tc>
        <w:tc>
          <w:tcPr>
            <w:tcW w:w="5670" w:type="dxa"/>
          </w:tcPr>
          <w:p w14:paraId="7754DE15" w14:textId="77777777" w:rsidR="002619EF" w:rsidRPr="00543265" w:rsidRDefault="002619EF" w:rsidP="002619EF">
            <w:pPr>
              <w:pStyle w:val="BodyText"/>
              <w:cnfStyle w:val="000000000000" w:firstRow="0" w:lastRow="0" w:firstColumn="0" w:lastColumn="0" w:oddVBand="0" w:evenVBand="0" w:oddHBand="0" w:evenHBand="0" w:firstRowFirstColumn="0" w:firstRowLastColumn="0" w:lastRowFirstColumn="0" w:lastRowLastColumn="0"/>
            </w:pPr>
            <w:proofErr w:type="gramStart"/>
            <w:r>
              <w:t>o</w:t>
            </w:r>
            <w:r w:rsidRPr="00543265">
              <w:t>ther</w:t>
            </w:r>
            <w:proofErr w:type="gramEnd"/>
            <w:r w:rsidRPr="00543265">
              <w:t xml:space="preserve"> specific cataract</w:t>
            </w:r>
            <w:r>
              <w:t xml:space="preserve"> [U</w:t>
            </w:r>
            <w:r w:rsidRPr="00543265">
              <w:t>nspecified cataract</w:t>
            </w:r>
            <w:r>
              <w:t>]</w:t>
            </w:r>
          </w:p>
        </w:tc>
      </w:tr>
      <w:tr w:rsidR="002619EF" w14:paraId="2275F82A"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4EB7B73B" w14:textId="77777777" w:rsidR="002619EF" w:rsidRDefault="002619EF" w:rsidP="002619EF">
            <w:pPr>
              <w:pStyle w:val="BodyText"/>
              <w:rPr>
                <w:lang w:eastAsia="en-GB"/>
              </w:rPr>
            </w:pPr>
            <w:r w:rsidRPr="00543265">
              <w:rPr>
                <w:lang w:eastAsia="en-GB"/>
              </w:rPr>
              <w:t>J38.5</w:t>
            </w:r>
          </w:p>
        </w:tc>
        <w:tc>
          <w:tcPr>
            <w:tcW w:w="5670" w:type="dxa"/>
          </w:tcPr>
          <w:p w14:paraId="78FD24B4" w14:textId="77777777" w:rsidR="002619EF" w:rsidRDefault="002619EF" w:rsidP="002619EF">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543265">
              <w:t>Laryngeal spasm</w:t>
            </w:r>
          </w:p>
        </w:tc>
      </w:tr>
      <w:tr w:rsidR="002619EF" w14:paraId="50670F78" w14:textId="77777777" w:rsidTr="002619EF">
        <w:tc>
          <w:tcPr>
            <w:cnfStyle w:val="001000000000" w:firstRow="0" w:lastRow="0" w:firstColumn="1" w:lastColumn="0" w:oddVBand="0" w:evenVBand="0" w:oddHBand="0" w:evenHBand="0" w:firstRowFirstColumn="0" w:firstRowLastColumn="0" w:lastRowFirstColumn="0" w:lastRowLastColumn="0"/>
            <w:tcW w:w="3320" w:type="dxa"/>
          </w:tcPr>
          <w:p w14:paraId="22BE36F4" w14:textId="77777777" w:rsidR="002619EF" w:rsidRDefault="002619EF" w:rsidP="002619EF">
            <w:pPr>
              <w:pStyle w:val="BodyText"/>
              <w:rPr>
                <w:lang w:eastAsia="en-GB"/>
              </w:rPr>
            </w:pPr>
            <w:r w:rsidRPr="00543265">
              <w:rPr>
                <w:lang w:eastAsia="en-GB"/>
              </w:rPr>
              <w:t xml:space="preserve">F44.5 </w:t>
            </w:r>
          </w:p>
        </w:tc>
        <w:tc>
          <w:tcPr>
            <w:tcW w:w="5670" w:type="dxa"/>
          </w:tcPr>
          <w:p w14:paraId="764F045B" w14:textId="77777777" w:rsidR="002619EF" w:rsidRDefault="002619EF" w:rsidP="002619EF">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543265">
              <w:rPr>
                <w:lang w:eastAsia="en-GB"/>
              </w:rPr>
              <w:t>Dissociative convulsion</w:t>
            </w:r>
          </w:p>
        </w:tc>
      </w:tr>
    </w:tbl>
    <w:p w14:paraId="7C9F5969" w14:textId="4E4E66F5" w:rsidR="002619EF" w:rsidRDefault="002619EF" w:rsidP="00EA2E25">
      <w:pPr>
        <w:rPr>
          <w:sz w:val="14"/>
        </w:rPr>
      </w:pPr>
    </w:p>
    <w:p w14:paraId="473EB526" w14:textId="77777777" w:rsidR="00D62BCC" w:rsidRDefault="00D62BCC" w:rsidP="002619EF">
      <w:pPr>
        <w:rPr>
          <w:b/>
          <w:bCs/>
          <w:sz w:val="22"/>
          <w:szCs w:val="22"/>
        </w:rPr>
      </w:pPr>
      <w:bookmarkStart w:id="61" w:name="_Toc502165486"/>
    </w:p>
    <w:p w14:paraId="7A04D4BA" w14:textId="77777777" w:rsidR="00D62BCC" w:rsidRDefault="00D62BCC" w:rsidP="002619EF">
      <w:pPr>
        <w:rPr>
          <w:b/>
          <w:bCs/>
          <w:sz w:val="22"/>
          <w:szCs w:val="22"/>
        </w:rPr>
      </w:pPr>
    </w:p>
    <w:p w14:paraId="51F40D67" w14:textId="4BB85795" w:rsidR="002619EF" w:rsidRPr="002619EF" w:rsidRDefault="00903021" w:rsidP="002619EF">
      <w:pPr>
        <w:rPr>
          <w:b/>
          <w:bCs/>
          <w:sz w:val="22"/>
          <w:szCs w:val="22"/>
        </w:rPr>
      </w:pPr>
      <w:r>
        <w:rPr>
          <w:b/>
          <w:bCs/>
          <w:sz w:val="22"/>
          <w:szCs w:val="22"/>
        </w:rPr>
        <w:lastRenderedPageBreak/>
        <w:t>Table 6</w:t>
      </w:r>
      <w:r w:rsidR="002619EF" w:rsidRPr="002619EF">
        <w:rPr>
          <w:b/>
          <w:bCs/>
          <w:sz w:val="22"/>
          <w:szCs w:val="22"/>
        </w:rPr>
        <w:t>: Poorly controlled hypoparathyroidism diagnosis codes II</w:t>
      </w:r>
      <w:bookmarkEnd w:id="61"/>
    </w:p>
    <w:p w14:paraId="1DA330BD" w14:textId="18918726" w:rsidR="002619EF" w:rsidRDefault="002619EF" w:rsidP="00EA2E25">
      <w:pPr>
        <w:rPr>
          <w:sz w:val="14"/>
        </w:rPr>
      </w:pPr>
    </w:p>
    <w:tbl>
      <w:tblPr>
        <w:tblStyle w:val="LightList-Accent11"/>
        <w:tblW w:w="0" w:type="auto"/>
        <w:tblLook w:val="04A0" w:firstRow="1" w:lastRow="0" w:firstColumn="1" w:lastColumn="0" w:noHBand="0" w:noVBand="1"/>
      </w:tblPr>
      <w:tblGrid>
        <w:gridCol w:w="3410"/>
        <w:gridCol w:w="5580"/>
      </w:tblGrid>
      <w:tr w:rsidR="002619EF" w14:paraId="7E596053" w14:textId="77777777" w:rsidTr="00261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1D28B613" w14:textId="77777777" w:rsidR="002619EF" w:rsidRDefault="002619EF" w:rsidP="002619EF">
            <w:pPr>
              <w:pStyle w:val="BodyText"/>
              <w:rPr>
                <w:lang w:eastAsia="en-GB"/>
              </w:rPr>
            </w:pPr>
            <w:r>
              <w:rPr>
                <w:lang w:eastAsia="en-GB"/>
              </w:rPr>
              <w:t>ICD-10 code</w:t>
            </w:r>
          </w:p>
        </w:tc>
        <w:tc>
          <w:tcPr>
            <w:tcW w:w="5580" w:type="dxa"/>
          </w:tcPr>
          <w:p w14:paraId="3DDDBAF0" w14:textId="77777777" w:rsidR="002619EF" w:rsidRDefault="002619EF" w:rsidP="002619EF">
            <w:pPr>
              <w:pStyle w:val="BodyText"/>
              <w:cnfStyle w:val="100000000000" w:firstRow="1" w:lastRow="0" w:firstColumn="0" w:lastColumn="0" w:oddVBand="0" w:evenVBand="0" w:oddHBand="0" w:evenHBand="0" w:firstRowFirstColumn="0" w:firstRowLastColumn="0" w:lastRowFirstColumn="0" w:lastRowLastColumn="0"/>
              <w:rPr>
                <w:lang w:eastAsia="en-GB"/>
              </w:rPr>
            </w:pPr>
            <w:r>
              <w:rPr>
                <w:lang w:eastAsia="en-GB"/>
              </w:rPr>
              <w:t>Diagnosis</w:t>
            </w:r>
          </w:p>
        </w:tc>
      </w:tr>
      <w:tr w:rsidR="002619EF" w14:paraId="1F591B2E"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45D159DF" w14:textId="77777777" w:rsidR="002619EF" w:rsidRPr="009258A4" w:rsidRDefault="002619EF" w:rsidP="002619EF">
            <w:pPr>
              <w:pStyle w:val="BodyText"/>
              <w:rPr>
                <w:lang w:eastAsia="en-GB"/>
              </w:rPr>
            </w:pPr>
            <w:r w:rsidRPr="009258A4">
              <w:rPr>
                <w:lang w:eastAsia="en-GB"/>
              </w:rPr>
              <w:t>584</w:t>
            </w:r>
          </w:p>
        </w:tc>
        <w:tc>
          <w:tcPr>
            <w:tcW w:w="5580" w:type="dxa"/>
          </w:tcPr>
          <w:p w14:paraId="0B719476" w14:textId="77777777" w:rsidR="002619EF" w:rsidRDefault="002619EF" w:rsidP="002619EF">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9258A4">
              <w:rPr>
                <w:lang w:eastAsia="en-GB"/>
              </w:rPr>
              <w:t>Acute renal failure</w:t>
            </w:r>
          </w:p>
        </w:tc>
      </w:tr>
      <w:tr w:rsidR="002619EF" w14:paraId="67FD0D1B" w14:textId="77777777" w:rsidTr="002619EF">
        <w:tc>
          <w:tcPr>
            <w:cnfStyle w:val="001000000000" w:firstRow="0" w:lastRow="0" w:firstColumn="1" w:lastColumn="0" w:oddVBand="0" w:evenVBand="0" w:oddHBand="0" w:evenHBand="0" w:firstRowFirstColumn="0" w:firstRowLastColumn="0" w:lastRowFirstColumn="0" w:lastRowLastColumn="0"/>
            <w:tcW w:w="3410" w:type="dxa"/>
          </w:tcPr>
          <w:p w14:paraId="387482E9" w14:textId="77777777" w:rsidR="002619EF" w:rsidRPr="009258A4" w:rsidRDefault="002619EF" w:rsidP="002619EF">
            <w:pPr>
              <w:pStyle w:val="BodyText"/>
              <w:rPr>
                <w:lang w:eastAsia="en-GB"/>
              </w:rPr>
            </w:pPr>
            <w:r w:rsidRPr="009258A4">
              <w:rPr>
                <w:lang w:eastAsia="en-GB"/>
              </w:rPr>
              <w:t xml:space="preserve">592 </w:t>
            </w:r>
          </w:p>
        </w:tc>
        <w:tc>
          <w:tcPr>
            <w:tcW w:w="5580" w:type="dxa"/>
          </w:tcPr>
          <w:p w14:paraId="68CEFE42" w14:textId="77777777" w:rsidR="002619EF" w:rsidRDefault="002619EF" w:rsidP="002619EF">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9258A4">
              <w:rPr>
                <w:lang w:eastAsia="en-GB"/>
              </w:rPr>
              <w:t>Stone in kidney or ureter</w:t>
            </w:r>
          </w:p>
        </w:tc>
      </w:tr>
      <w:tr w:rsidR="002619EF" w14:paraId="13536FE7"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1ECAA8F" w14:textId="77777777" w:rsidR="002619EF" w:rsidRPr="009258A4" w:rsidRDefault="002619EF" w:rsidP="002619EF">
            <w:pPr>
              <w:pStyle w:val="BodyText"/>
              <w:rPr>
                <w:lang w:eastAsia="en-GB"/>
              </w:rPr>
            </w:pPr>
            <w:r w:rsidRPr="009258A4">
              <w:rPr>
                <w:lang w:eastAsia="en-GB"/>
              </w:rPr>
              <w:t xml:space="preserve">345 </w:t>
            </w:r>
          </w:p>
        </w:tc>
        <w:tc>
          <w:tcPr>
            <w:tcW w:w="5580" w:type="dxa"/>
          </w:tcPr>
          <w:p w14:paraId="1F58236B" w14:textId="77777777" w:rsidR="002619EF" w:rsidRDefault="002619EF" w:rsidP="002619EF">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9258A4">
              <w:rPr>
                <w:lang w:eastAsia="en-GB"/>
              </w:rPr>
              <w:t>Epilepsy</w:t>
            </w:r>
          </w:p>
        </w:tc>
      </w:tr>
      <w:tr w:rsidR="002619EF" w14:paraId="0F909B04" w14:textId="77777777" w:rsidTr="002619EF">
        <w:tc>
          <w:tcPr>
            <w:cnfStyle w:val="001000000000" w:firstRow="0" w:lastRow="0" w:firstColumn="1" w:lastColumn="0" w:oddVBand="0" w:evenVBand="0" w:oddHBand="0" w:evenHBand="0" w:firstRowFirstColumn="0" w:firstRowLastColumn="0" w:lastRowFirstColumn="0" w:lastRowLastColumn="0"/>
            <w:tcW w:w="3410" w:type="dxa"/>
          </w:tcPr>
          <w:p w14:paraId="02F8B4F5" w14:textId="77777777" w:rsidR="002619EF" w:rsidRPr="009258A4" w:rsidRDefault="002619EF" w:rsidP="002619EF">
            <w:pPr>
              <w:pStyle w:val="BodyText"/>
              <w:rPr>
                <w:lang w:eastAsia="en-GB"/>
              </w:rPr>
            </w:pPr>
            <w:r w:rsidRPr="009258A4">
              <w:rPr>
                <w:lang w:eastAsia="en-GB"/>
              </w:rPr>
              <w:t>366</w:t>
            </w:r>
          </w:p>
        </w:tc>
        <w:tc>
          <w:tcPr>
            <w:tcW w:w="5580" w:type="dxa"/>
          </w:tcPr>
          <w:p w14:paraId="1A42CBC9" w14:textId="77777777" w:rsidR="002619EF" w:rsidRDefault="002619EF" w:rsidP="002619EF">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9258A4">
              <w:rPr>
                <w:lang w:eastAsia="en-GB"/>
              </w:rPr>
              <w:t>Cataract (Excludes diabetic and congenital)</w:t>
            </w:r>
          </w:p>
        </w:tc>
      </w:tr>
      <w:tr w:rsidR="002619EF" w14:paraId="56A51144" w14:textId="77777777" w:rsidTr="00261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3997AD63" w14:textId="77777777" w:rsidR="002619EF" w:rsidRPr="009258A4" w:rsidRDefault="002619EF" w:rsidP="002619EF">
            <w:pPr>
              <w:pStyle w:val="BodyText"/>
              <w:rPr>
                <w:lang w:eastAsia="en-GB"/>
              </w:rPr>
            </w:pPr>
            <w:r w:rsidRPr="009258A4">
              <w:rPr>
                <w:lang w:eastAsia="en-GB"/>
              </w:rPr>
              <w:t xml:space="preserve">7288 </w:t>
            </w:r>
          </w:p>
        </w:tc>
        <w:tc>
          <w:tcPr>
            <w:tcW w:w="5580" w:type="dxa"/>
          </w:tcPr>
          <w:p w14:paraId="0AE38D01" w14:textId="77777777" w:rsidR="002619EF" w:rsidRDefault="002619EF" w:rsidP="002619EF">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9258A4">
              <w:rPr>
                <w:lang w:eastAsia="en-GB"/>
              </w:rPr>
              <w:t>Muscle spasm</w:t>
            </w:r>
          </w:p>
        </w:tc>
      </w:tr>
    </w:tbl>
    <w:p w14:paraId="64D4004F" w14:textId="341CCF09" w:rsidR="002619EF" w:rsidRDefault="002619EF" w:rsidP="00EA2E25">
      <w:pPr>
        <w:rPr>
          <w:sz w:val="14"/>
        </w:rPr>
      </w:pPr>
    </w:p>
    <w:p w14:paraId="1C55E5AD" w14:textId="65486C7D" w:rsidR="00EA2E25" w:rsidRDefault="002619EF" w:rsidP="00EA2E25">
      <w:pPr>
        <w:rPr>
          <w:b/>
          <w:bCs/>
          <w:sz w:val="22"/>
          <w:szCs w:val="22"/>
        </w:rPr>
      </w:pPr>
      <w:bookmarkStart w:id="62" w:name="_Ref484160733"/>
      <w:bookmarkStart w:id="63" w:name="_Toc502165484"/>
      <w:r w:rsidRPr="002619EF">
        <w:rPr>
          <w:b/>
          <w:bCs/>
          <w:sz w:val="22"/>
          <w:szCs w:val="22"/>
        </w:rPr>
        <w:t xml:space="preserve">Table </w:t>
      </w:r>
      <w:bookmarkEnd w:id="62"/>
      <w:r w:rsidR="00903021">
        <w:rPr>
          <w:b/>
          <w:bCs/>
          <w:sz w:val="22"/>
          <w:szCs w:val="22"/>
        </w:rPr>
        <w:t>7</w:t>
      </w:r>
      <w:r w:rsidRPr="002619EF">
        <w:rPr>
          <w:b/>
          <w:bCs/>
          <w:sz w:val="22"/>
          <w:szCs w:val="22"/>
        </w:rPr>
        <w:t>:</w:t>
      </w:r>
      <w:r w:rsidR="00903021">
        <w:rPr>
          <w:b/>
          <w:bCs/>
          <w:sz w:val="22"/>
          <w:szCs w:val="22"/>
        </w:rPr>
        <w:t xml:space="preserve"> </w:t>
      </w:r>
      <w:r w:rsidR="00903021" w:rsidRPr="00903021">
        <w:rPr>
          <w:b/>
          <w:bCs/>
          <w:sz w:val="22"/>
          <w:szCs w:val="22"/>
        </w:rPr>
        <w:t>Specialist physician billing cost codes</w:t>
      </w:r>
      <w:r w:rsidRPr="002619EF">
        <w:rPr>
          <w:b/>
          <w:bCs/>
          <w:sz w:val="22"/>
          <w:szCs w:val="22"/>
        </w:rPr>
        <w:t xml:space="preserve"> </w:t>
      </w:r>
      <w:bookmarkEnd w:id="63"/>
    </w:p>
    <w:p w14:paraId="2676E51B" w14:textId="77777777" w:rsidR="00D62BCC" w:rsidRDefault="00D62BCC" w:rsidP="00EA2E25">
      <w:pPr>
        <w:rPr>
          <w:b/>
          <w:bCs/>
          <w:sz w:val="22"/>
          <w:szCs w:val="22"/>
        </w:rPr>
      </w:pPr>
    </w:p>
    <w:tbl>
      <w:tblPr>
        <w:tblStyle w:val="LightList-Accent11"/>
        <w:tblW w:w="9530" w:type="dxa"/>
        <w:tblLook w:val="04A0" w:firstRow="1" w:lastRow="0" w:firstColumn="1" w:lastColumn="0" w:noHBand="0" w:noVBand="1"/>
      </w:tblPr>
      <w:tblGrid>
        <w:gridCol w:w="5210"/>
        <w:gridCol w:w="4320"/>
      </w:tblGrid>
      <w:tr w:rsidR="00903021" w14:paraId="64C7CCE3" w14:textId="77777777" w:rsidTr="00903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65571501" w14:textId="77777777" w:rsidR="00903021" w:rsidRDefault="00903021" w:rsidP="00903021">
            <w:pPr>
              <w:pStyle w:val="BodyText"/>
              <w:rPr>
                <w:lang w:eastAsia="en-GB"/>
              </w:rPr>
            </w:pPr>
            <w:r>
              <w:rPr>
                <w:lang w:eastAsia="en-GB"/>
              </w:rPr>
              <w:t>Description</w:t>
            </w:r>
          </w:p>
        </w:tc>
        <w:tc>
          <w:tcPr>
            <w:tcW w:w="4320" w:type="dxa"/>
          </w:tcPr>
          <w:p w14:paraId="58CDA88B" w14:textId="77777777" w:rsidR="00903021" w:rsidRDefault="00903021" w:rsidP="00903021">
            <w:pPr>
              <w:pStyle w:val="BodyText"/>
              <w:cnfStyle w:val="100000000000" w:firstRow="1" w:lastRow="0" w:firstColumn="0" w:lastColumn="0" w:oddVBand="0" w:evenVBand="0" w:oddHBand="0" w:evenHBand="0" w:firstRowFirstColumn="0" w:firstRowLastColumn="0" w:lastRowFirstColumn="0" w:lastRowLastColumn="0"/>
              <w:rPr>
                <w:lang w:eastAsia="en-GB"/>
              </w:rPr>
            </w:pPr>
            <w:r>
              <w:rPr>
                <w:lang w:eastAsia="en-GB"/>
              </w:rPr>
              <w:t>ICES cost code</w:t>
            </w:r>
          </w:p>
        </w:tc>
      </w:tr>
      <w:tr w:rsidR="00903021" w14:paraId="06234851"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600C0BFC" w14:textId="77777777" w:rsidR="00903021" w:rsidRDefault="00903021" w:rsidP="00903021">
            <w:pPr>
              <w:pStyle w:val="BodyText"/>
              <w:rPr>
                <w:lang w:eastAsia="en-GB"/>
              </w:rPr>
            </w:pPr>
            <w:r w:rsidRPr="00F06C6D">
              <w:rPr>
                <w:lang w:eastAsia="en-GB"/>
              </w:rPr>
              <w:t>ANAESTHESIA</w:t>
            </w:r>
          </w:p>
        </w:tc>
        <w:tc>
          <w:tcPr>
            <w:tcW w:w="4320" w:type="dxa"/>
          </w:tcPr>
          <w:p w14:paraId="4934B57D" w14:textId="77777777" w:rsidR="00903021"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01</w:t>
            </w:r>
          </w:p>
        </w:tc>
      </w:tr>
      <w:tr w:rsidR="00903021" w14:paraId="418DA523"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1299FEFB" w14:textId="77777777" w:rsidR="00903021" w:rsidRPr="00F06C6D" w:rsidRDefault="00903021" w:rsidP="00903021">
            <w:pPr>
              <w:pStyle w:val="BodyText"/>
              <w:rPr>
                <w:lang w:eastAsia="en-GB"/>
              </w:rPr>
            </w:pPr>
            <w:r w:rsidRPr="00F06C6D">
              <w:rPr>
                <w:lang w:eastAsia="en-GB"/>
              </w:rPr>
              <w:t>DERMATOLOGY</w:t>
            </w:r>
          </w:p>
        </w:tc>
        <w:tc>
          <w:tcPr>
            <w:tcW w:w="4320" w:type="dxa"/>
          </w:tcPr>
          <w:p w14:paraId="38D79576"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02</w:t>
            </w:r>
          </w:p>
        </w:tc>
      </w:tr>
      <w:tr w:rsidR="00903021" w14:paraId="5D86D7C4"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7204FE50" w14:textId="77777777" w:rsidR="00903021" w:rsidRPr="00F06C6D" w:rsidRDefault="00903021" w:rsidP="00903021">
            <w:pPr>
              <w:pStyle w:val="BodyText"/>
              <w:rPr>
                <w:lang w:eastAsia="en-GB"/>
              </w:rPr>
            </w:pPr>
            <w:r w:rsidRPr="00F06C6D">
              <w:rPr>
                <w:lang w:eastAsia="en-GB"/>
              </w:rPr>
              <w:t>GENERAL SURGERY</w:t>
            </w:r>
          </w:p>
        </w:tc>
        <w:tc>
          <w:tcPr>
            <w:tcW w:w="4320" w:type="dxa"/>
          </w:tcPr>
          <w:p w14:paraId="449D31A8"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03</w:t>
            </w:r>
          </w:p>
        </w:tc>
      </w:tr>
      <w:tr w:rsidR="00903021" w14:paraId="3FA2E180"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19105CF6" w14:textId="77777777" w:rsidR="00903021" w:rsidRPr="00F06C6D" w:rsidRDefault="00903021" w:rsidP="00903021">
            <w:pPr>
              <w:pStyle w:val="BodyText"/>
              <w:rPr>
                <w:lang w:eastAsia="en-GB"/>
              </w:rPr>
            </w:pPr>
            <w:r w:rsidRPr="00F06C6D">
              <w:rPr>
                <w:lang w:eastAsia="en-GB"/>
              </w:rPr>
              <w:t>NEUROSURGERY</w:t>
            </w:r>
          </w:p>
        </w:tc>
        <w:tc>
          <w:tcPr>
            <w:tcW w:w="4320" w:type="dxa"/>
          </w:tcPr>
          <w:p w14:paraId="23CB0C48"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04</w:t>
            </w:r>
          </w:p>
        </w:tc>
      </w:tr>
      <w:tr w:rsidR="00903021" w14:paraId="2134F10F"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66B1BFF1" w14:textId="77777777" w:rsidR="00903021" w:rsidRPr="00F06C6D" w:rsidRDefault="00903021" w:rsidP="00903021">
            <w:pPr>
              <w:pStyle w:val="BodyText"/>
              <w:rPr>
                <w:lang w:eastAsia="en-GB"/>
              </w:rPr>
            </w:pPr>
            <w:r w:rsidRPr="00F06C6D">
              <w:rPr>
                <w:lang w:eastAsia="en-GB"/>
              </w:rPr>
              <w:t>COMMUNITY MEDICINE</w:t>
            </w:r>
          </w:p>
        </w:tc>
        <w:tc>
          <w:tcPr>
            <w:tcW w:w="4320" w:type="dxa"/>
          </w:tcPr>
          <w:p w14:paraId="4C1D7597"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05</w:t>
            </w:r>
          </w:p>
        </w:tc>
      </w:tr>
      <w:tr w:rsidR="00903021" w14:paraId="583AB948"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07107FB4" w14:textId="77777777" w:rsidR="00903021" w:rsidRPr="00F06C6D" w:rsidRDefault="00903021" w:rsidP="00903021">
            <w:pPr>
              <w:pStyle w:val="BodyText"/>
              <w:rPr>
                <w:lang w:eastAsia="en-GB"/>
              </w:rPr>
            </w:pPr>
            <w:r w:rsidRPr="00F06C6D">
              <w:rPr>
                <w:lang w:eastAsia="en-GB"/>
              </w:rPr>
              <w:t>ORTHOPAEDIC SURGERY</w:t>
            </w:r>
          </w:p>
        </w:tc>
        <w:tc>
          <w:tcPr>
            <w:tcW w:w="4320" w:type="dxa"/>
          </w:tcPr>
          <w:p w14:paraId="1EFFD929"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06</w:t>
            </w:r>
          </w:p>
        </w:tc>
      </w:tr>
      <w:tr w:rsidR="00903021" w14:paraId="4C77A6B2"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5FE2F29E" w14:textId="77777777" w:rsidR="00903021" w:rsidRPr="00F06C6D" w:rsidRDefault="00903021" w:rsidP="00903021">
            <w:pPr>
              <w:pStyle w:val="BodyText"/>
              <w:rPr>
                <w:lang w:eastAsia="en-GB"/>
              </w:rPr>
            </w:pPr>
            <w:r w:rsidRPr="00F06C6D">
              <w:rPr>
                <w:lang w:eastAsia="en-GB"/>
              </w:rPr>
              <w:t>GERIATRICS</w:t>
            </w:r>
          </w:p>
        </w:tc>
        <w:tc>
          <w:tcPr>
            <w:tcW w:w="4320" w:type="dxa"/>
          </w:tcPr>
          <w:p w14:paraId="20829415"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07</w:t>
            </w:r>
          </w:p>
        </w:tc>
      </w:tr>
      <w:tr w:rsidR="00903021" w14:paraId="2EA97F15"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2542D5EE" w14:textId="77777777" w:rsidR="00903021" w:rsidRPr="00F06C6D" w:rsidRDefault="00903021" w:rsidP="00903021">
            <w:pPr>
              <w:pStyle w:val="BodyText"/>
              <w:rPr>
                <w:lang w:eastAsia="en-GB"/>
              </w:rPr>
            </w:pPr>
            <w:r w:rsidRPr="00F06C6D">
              <w:rPr>
                <w:lang w:eastAsia="en-GB"/>
              </w:rPr>
              <w:t>PLASTIC SURGERY</w:t>
            </w:r>
          </w:p>
        </w:tc>
        <w:tc>
          <w:tcPr>
            <w:tcW w:w="4320" w:type="dxa"/>
          </w:tcPr>
          <w:p w14:paraId="1015C815"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08</w:t>
            </w:r>
          </w:p>
        </w:tc>
      </w:tr>
      <w:tr w:rsidR="00903021" w14:paraId="008E63A8"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377D1DF9" w14:textId="77777777" w:rsidR="00903021" w:rsidRPr="00F06C6D" w:rsidRDefault="00903021" w:rsidP="00903021">
            <w:pPr>
              <w:pStyle w:val="BodyText"/>
              <w:rPr>
                <w:lang w:eastAsia="en-GB"/>
              </w:rPr>
            </w:pPr>
            <w:r w:rsidRPr="00F06C6D">
              <w:rPr>
                <w:lang w:eastAsia="en-GB"/>
              </w:rPr>
              <w:t>CARDIOTHORACIC SURGERY</w:t>
            </w:r>
          </w:p>
        </w:tc>
        <w:tc>
          <w:tcPr>
            <w:tcW w:w="4320" w:type="dxa"/>
          </w:tcPr>
          <w:p w14:paraId="55F3AF06"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09</w:t>
            </w:r>
          </w:p>
        </w:tc>
      </w:tr>
      <w:tr w:rsidR="00903021" w14:paraId="0F1D5B54"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7191DBC6" w14:textId="77777777" w:rsidR="00903021" w:rsidRPr="00F06C6D" w:rsidRDefault="00903021" w:rsidP="00903021">
            <w:pPr>
              <w:pStyle w:val="BodyText"/>
              <w:rPr>
                <w:lang w:eastAsia="en-GB"/>
              </w:rPr>
            </w:pPr>
            <w:r w:rsidRPr="00F06C6D">
              <w:rPr>
                <w:lang w:eastAsia="en-GB"/>
              </w:rPr>
              <w:t>EMERGENCY MEDICINE</w:t>
            </w:r>
          </w:p>
        </w:tc>
        <w:tc>
          <w:tcPr>
            <w:tcW w:w="4320" w:type="dxa"/>
          </w:tcPr>
          <w:p w14:paraId="03A94088"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12</w:t>
            </w:r>
          </w:p>
        </w:tc>
      </w:tr>
      <w:tr w:rsidR="00903021" w14:paraId="35F96587"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744568A6" w14:textId="77777777" w:rsidR="00903021" w:rsidRPr="00F06C6D" w:rsidRDefault="00903021" w:rsidP="00903021">
            <w:pPr>
              <w:pStyle w:val="BodyText"/>
              <w:rPr>
                <w:lang w:eastAsia="en-GB"/>
              </w:rPr>
            </w:pPr>
            <w:r w:rsidRPr="00F06C6D">
              <w:rPr>
                <w:lang w:eastAsia="en-GB"/>
              </w:rPr>
              <w:t>INTERNAL MEDICINE</w:t>
            </w:r>
          </w:p>
        </w:tc>
        <w:tc>
          <w:tcPr>
            <w:tcW w:w="4320" w:type="dxa"/>
          </w:tcPr>
          <w:p w14:paraId="25CC9EEB"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13</w:t>
            </w:r>
          </w:p>
        </w:tc>
      </w:tr>
      <w:tr w:rsidR="00903021" w14:paraId="0856CFCE"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3BB8C2CF" w14:textId="77777777" w:rsidR="00903021" w:rsidRPr="00F06C6D" w:rsidRDefault="00903021" w:rsidP="00903021">
            <w:pPr>
              <w:pStyle w:val="BodyText"/>
              <w:rPr>
                <w:lang w:eastAsia="en-GB"/>
              </w:rPr>
            </w:pPr>
            <w:r w:rsidRPr="00F06C6D">
              <w:rPr>
                <w:lang w:eastAsia="en-GB"/>
              </w:rPr>
              <w:t>ENDOCRINOLOGY</w:t>
            </w:r>
          </w:p>
        </w:tc>
        <w:tc>
          <w:tcPr>
            <w:tcW w:w="4320" w:type="dxa"/>
          </w:tcPr>
          <w:p w14:paraId="3A166614"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15</w:t>
            </w:r>
          </w:p>
        </w:tc>
      </w:tr>
      <w:tr w:rsidR="00903021" w14:paraId="21F86812"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056ED0B4" w14:textId="77777777" w:rsidR="00903021" w:rsidRPr="00F06C6D" w:rsidRDefault="00903021" w:rsidP="00903021">
            <w:pPr>
              <w:pStyle w:val="BodyText"/>
              <w:rPr>
                <w:lang w:eastAsia="en-GB"/>
              </w:rPr>
            </w:pPr>
            <w:r w:rsidRPr="00F06C6D">
              <w:rPr>
                <w:lang w:eastAsia="en-GB"/>
              </w:rPr>
              <w:t>NEPHROLOGY</w:t>
            </w:r>
          </w:p>
        </w:tc>
        <w:tc>
          <w:tcPr>
            <w:tcW w:w="4320" w:type="dxa"/>
          </w:tcPr>
          <w:p w14:paraId="07494C15"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16</w:t>
            </w:r>
          </w:p>
        </w:tc>
      </w:tr>
      <w:tr w:rsidR="00903021" w14:paraId="26E719D9"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51BD34FB" w14:textId="77777777" w:rsidR="00903021" w:rsidRPr="00F06C6D" w:rsidRDefault="00903021" w:rsidP="00903021">
            <w:pPr>
              <w:pStyle w:val="BodyText"/>
              <w:rPr>
                <w:lang w:eastAsia="en-GB"/>
              </w:rPr>
            </w:pPr>
            <w:r w:rsidRPr="00F06C6D">
              <w:rPr>
                <w:lang w:eastAsia="en-GB"/>
              </w:rPr>
              <w:t>VASCULAR SURGERY</w:t>
            </w:r>
          </w:p>
        </w:tc>
        <w:tc>
          <w:tcPr>
            <w:tcW w:w="4320" w:type="dxa"/>
          </w:tcPr>
          <w:p w14:paraId="62A67519"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17</w:t>
            </w:r>
          </w:p>
        </w:tc>
      </w:tr>
      <w:tr w:rsidR="00903021" w14:paraId="0F28CD03"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0AD7648A" w14:textId="77777777" w:rsidR="00903021" w:rsidRPr="00F06C6D" w:rsidRDefault="00903021" w:rsidP="00903021">
            <w:pPr>
              <w:pStyle w:val="BodyText"/>
              <w:rPr>
                <w:lang w:eastAsia="en-GB"/>
              </w:rPr>
            </w:pPr>
            <w:r w:rsidRPr="00F06C6D">
              <w:rPr>
                <w:lang w:eastAsia="en-GB"/>
              </w:rPr>
              <w:t>NEUROLOGY</w:t>
            </w:r>
          </w:p>
        </w:tc>
        <w:tc>
          <w:tcPr>
            <w:tcW w:w="4320" w:type="dxa"/>
          </w:tcPr>
          <w:p w14:paraId="0438B949"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18</w:t>
            </w:r>
          </w:p>
        </w:tc>
      </w:tr>
      <w:tr w:rsidR="00903021" w14:paraId="49FB9023"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2B4D9501" w14:textId="77777777" w:rsidR="00903021" w:rsidRPr="00F06C6D" w:rsidRDefault="00903021" w:rsidP="00903021">
            <w:pPr>
              <w:pStyle w:val="BodyText"/>
              <w:rPr>
                <w:lang w:eastAsia="en-GB"/>
              </w:rPr>
            </w:pPr>
            <w:r w:rsidRPr="00F06C6D">
              <w:rPr>
                <w:lang w:eastAsia="en-GB"/>
              </w:rPr>
              <w:t>PSYCHIATRY</w:t>
            </w:r>
          </w:p>
        </w:tc>
        <w:tc>
          <w:tcPr>
            <w:tcW w:w="4320" w:type="dxa"/>
          </w:tcPr>
          <w:p w14:paraId="5A5A0195"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19</w:t>
            </w:r>
          </w:p>
        </w:tc>
      </w:tr>
      <w:tr w:rsidR="00903021" w14:paraId="5AA2506F"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52D574D7" w14:textId="77777777" w:rsidR="00903021" w:rsidRPr="00F06C6D" w:rsidRDefault="00903021" w:rsidP="00903021">
            <w:pPr>
              <w:pStyle w:val="BodyText"/>
              <w:rPr>
                <w:lang w:eastAsia="en-GB"/>
              </w:rPr>
            </w:pPr>
            <w:r w:rsidRPr="00F06C6D">
              <w:rPr>
                <w:lang w:eastAsia="en-GB"/>
              </w:rPr>
              <w:t>OBSTETRICS AND GYNAECOLOGY</w:t>
            </w:r>
          </w:p>
        </w:tc>
        <w:tc>
          <w:tcPr>
            <w:tcW w:w="4320" w:type="dxa"/>
          </w:tcPr>
          <w:p w14:paraId="61F04C0C"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20</w:t>
            </w:r>
          </w:p>
        </w:tc>
      </w:tr>
      <w:tr w:rsidR="00903021" w14:paraId="45BCE51F"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1FF497A1" w14:textId="77777777" w:rsidR="00903021" w:rsidRPr="00F06C6D" w:rsidRDefault="00903021" w:rsidP="00903021">
            <w:pPr>
              <w:pStyle w:val="BodyText"/>
              <w:rPr>
                <w:lang w:eastAsia="en-GB"/>
              </w:rPr>
            </w:pPr>
            <w:r w:rsidRPr="00F06C6D">
              <w:rPr>
                <w:lang w:eastAsia="en-GB"/>
              </w:rPr>
              <w:t>GENETICS</w:t>
            </w:r>
          </w:p>
        </w:tc>
        <w:tc>
          <w:tcPr>
            <w:tcW w:w="4320" w:type="dxa"/>
          </w:tcPr>
          <w:p w14:paraId="0569C526"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22</w:t>
            </w:r>
          </w:p>
        </w:tc>
      </w:tr>
      <w:tr w:rsidR="00903021" w14:paraId="3D5A8C93"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7AAEB771" w14:textId="77777777" w:rsidR="00903021" w:rsidRPr="00F06C6D" w:rsidRDefault="00903021" w:rsidP="00903021">
            <w:pPr>
              <w:pStyle w:val="BodyText"/>
              <w:rPr>
                <w:lang w:eastAsia="en-GB"/>
              </w:rPr>
            </w:pPr>
            <w:r w:rsidRPr="00F06C6D">
              <w:rPr>
                <w:lang w:eastAsia="en-GB"/>
              </w:rPr>
              <w:t>OPHTHALMOLOGY</w:t>
            </w:r>
          </w:p>
        </w:tc>
        <w:tc>
          <w:tcPr>
            <w:tcW w:w="4320" w:type="dxa"/>
          </w:tcPr>
          <w:p w14:paraId="1BC05A72"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23</w:t>
            </w:r>
          </w:p>
        </w:tc>
      </w:tr>
      <w:tr w:rsidR="00903021" w14:paraId="3D39B1E8"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55CFAFFA" w14:textId="77777777" w:rsidR="00903021" w:rsidRPr="00F06C6D" w:rsidRDefault="00903021" w:rsidP="00903021">
            <w:pPr>
              <w:pStyle w:val="BodyText"/>
              <w:rPr>
                <w:lang w:eastAsia="en-GB"/>
              </w:rPr>
            </w:pPr>
            <w:r w:rsidRPr="00F06C6D">
              <w:rPr>
                <w:lang w:eastAsia="en-GB"/>
              </w:rPr>
              <w:t>OTOLARYNGOLOGY</w:t>
            </w:r>
          </w:p>
        </w:tc>
        <w:tc>
          <w:tcPr>
            <w:tcW w:w="4320" w:type="dxa"/>
          </w:tcPr>
          <w:p w14:paraId="1B9EFC17"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24</w:t>
            </w:r>
          </w:p>
        </w:tc>
      </w:tr>
      <w:tr w:rsidR="00903021" w14:paraId="2D176CF7"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696AE9EB" w14:textId="77777777" w:rsidR="00903021" w:rsidRPr="00F06C6D" w:rsidRDefault="00903021" w:rsidP="00903021">
            <w:pPr>
              <w:pStyle w:val="BodyText"/>
              <w:rPr>
                <w:lang w:eastAsia="en-GB"/>
              </w:rPr>
            </w:pPr>
            <w:r w:rsidRPr="00F06C6D">
              <w:rPr>
                <w:lang w:eastAsia="en-GB"/>
              </w:rPr>
              <w:t>PAEDIATRICS</w:t>
            </w:r>
          </w:p>
        </w:tc>
        <w:tc>
          <w:tcPr>
            <w:tcW w:w="4320" w:type="dxa"/>
          </w:tcPr>
          <w:p w14:paraId="459CD801"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26</w:t>
            </w:r>
          </w:p>
        </w:tc>
      </w:tr>
      <w:tr w:rsidR="00903021" w14:paraId="21B03647"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76BC07F5" w14:textId="77777777" w:rsidR="00903021" w:rsidRPr="00F06C6D" w:rsidRDefault="00903021" w:rsidP="00903021">
            <w:pPr>
              <w:pStyle w:val="BodyText"/>
              <w:rPr>
                <w:lang w:eastAsia="en-GB"/>
              </w:rPr>
            </w:pPr>
            <w:r w:rsidRPr="00F06C6D">
              <w:rPr>
                <w:lang w:eastAsia="en-GB"/>
              </w:rPr>
              <w:t>DIAGNOSTIC RADIOLOGY</w:t>
            </w:r>
          </w:p>
        </w:tc>
        <w:tc>
          <w:tcPr>
            <w:tcW w:w="4320" w:type="dxa"/>
          </w:tcPr>
          <w:p w14:paraId="268A461B"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33</w:t>
            </w:r>
          </w:p>
        </w:tc>
      </w:tr>
      <w:tr w:rsidR="00903021" w14:paraId="6CEFBE5B"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001F0BAD" w14:textId="77777777" w:rsidR="00903021" w:rsidRPr="00F06C6D" w:rsidRDefault="00903021" w:rsidP="00903021">
            <w:pPr>
              <w:pStyle w:val="BodyText"/>
              <w:rPr>
                <w:lang w:eastAsia="en-GB"/>
              </w:rPr>
            </w:pPr>
            <w:r w:rsidRPr="00F06C6D">
              <w:rPr>
                <w:lang w:eastAsia="en-GB"/>
              </w:rPr>
              <w:t>THERAPEUTIC RADIOLOGY</w:t>
            </w:r>
          </w:p>
        </w:tc>
        <w:tc>
          <w:tcPr>
            <w:tcW w:w="4320" w:type="dxa"/>
          </w:tcPr>
          <w:p w14:paraId="420FA312"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34</w:t>
            </w:r>
          </w:p>
        </w:tc>
      </w:tr>
      <w:tr w:rsidR="00903021" w14:paraId="344C21CA"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4466A8F6" w14:textId="77777777" w:rsidR="00903021" w:rsidRPr="00F06C6D" w:rsidRDefault="00903021" w:rsidP="00903021">
            <w:pPr>
              <w:pStyle w:val="BodyText"/>
              <w:rPr>
                <w:lang w:eastAsia="en-GB"/>
              </w:rPr>
            </w:pPr>
            <w:r w:rsidRPr="00F06C6D">
              <w:rPr>
                <w:lang w:eastAsia="en-GB"/>
              </w:rPr>
              <w:t>UROLOGY</w:t>
            </w:r>
          </w:p>
        </w:tc>
        <w:tc>
          <w:tcPr>
            <w:tcW w:w="4320" w:type="dxa"/>
          </w:tcPr>
          <w:p w14:paraId="316CC19B"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35</w:t>
            </w:r>
          </w:p>
        </w:tc>
      </w:tr>
      <w:tr w:rsidR="00903021" w14:paraId="0845A7C7"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67B90AFC" w14:textId="77777777" w:rsidR="00903021" w:rsidRPr="00F06C6D" w:rsidRDefault="00903021" w:rsidP="00903021">
            <w:pPr>
              <w:pStyle w:val="BodyText"/>
              <w:rPr>
                <w:lang w:eastAsia="en-GB"/>
              </w:rPr>
            </w:pPr>
            <w:r w:rsidRPr="00F06C6D">
              <w:rPr>
                <w:lang w:eastAsia="en-GB"/>
              </w:rPr>
              <w:t>GASTROENTEROLOGY</w:t>
            </w:r>
          </w:p>
        </w:tc>
        <w:tc>
          <w:tcPr>
            <w:tcW w:w="4320" w:type="dxa"/>
          </w:tcPr>
          <w:p w14:paraId="40E76620"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41</w:t>
            </w:r>
          </w:p>
        </w:tc>
      </w:tr>
      <w:tr w:rsidR="00903021" w14:paraId="7052D55D"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73424213" w14:textId="77777777" w:rsidR="00903021" w:rsidRPr="00F06C6D" w:rsidRDefault="00903021" w:rsidP="00903021">
            <w:pPr>
              <w:pStyle w:val="BodyText"/>
              <w:rPr>
                <w:lang w:eastAsia="en-GB"/>
              </w:rPr>
            </w:pPr>
            <w:r w:rsidRPr="00F06C6D">
              <w:rPr>
                <w:lang w:eastAsia="en-GB"/>
              </w:rPr>
              <w:t>MEDICAL ONCOLOGY</w:t>
            </w:r>
          </w:p>
        </w:tc>
        <w:tc>
          <w:tcPr>
            <w:tcW w:w="4320" w:type="dxa"/>
          </w:tcPr>
          <w:p w14:paraId="4FEDC95D"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44</w:t>
            </w:r>
          </w:p>
        </w:tc>
      </w:tr>
      <w:tr w:rsidR="00903021" w14:paraId="2FEC76FA"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34D05629" w14:textId="77777777" w:rsidR="00903021" w:rsidRPr="00F06C6D" w:rsidRDefault="00903021" w:rsidP="00903021">
            <w:pPr>
              <w:pStyle w:val="BodyText"/>
              <w:rPr>
                <w:lang w:eastAsia="en-GB"/>
              </w:rPr>
            </w:pPr>
            <w:r w:rsidRPr="00F06C6D">
              <w:rPr>
                <w:lang w:eastAsia="en-GB"/>
              </w:rPr>
              <w:t>INFECTIOUS DISEASE</w:t>
            </w:r>
          </w:p>
        </w:tc>
        <w:tc>
          <w:tcPr>
            <w:tcW w:w="4320" w:type="dxa"/>
          </w:tcPr>
          <w:p w14:paraId="378622A9"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46</w:t>
            </w:r>
          </w:p>
        </w:tc>
      </w:tr>
      <w:tr w:rsidR="00903021" w14:paraId="0A36C3C6"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1D9D1689" w14:textId="77777777" w:rsidR="00903021" w:rsidRPr="00F06C6D" w:rsidRDefault="00903021" w:rsidP="00903021">
            <w:pPr>
              <w:pStyle w:val="BodyText"/>
              <w:rPr>
                <w:lang w:eastAsia="en-GB"/>
              </w:rPr>
            </w:pPr>
            <w:r w:rsidRPr="00F06C6D">
              <w:rPr>
                <w:lang w:eastAsia="en-GB"/>
              </w:rPr>
              <w:t>RESPIRATORY DISEASE</w:t>
            </w:r>
          </w:p>
        </w:tc>
        <w:tc>
          <w:tcPr>
            <w:tcW w:w="4320" w:type="dxa"/>
          </w:tcPr>
          <w:p w14:paraId="2E7644B6"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47</w:t>
            </w:r>
          </w:p>
        </w:tc>
      </w:tr>
      <w:tr w:rsidR="00903021" w14:paraId="45621BAA"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72014B9B" w14:textId="77777777" w:rsidR="00903021" w:rsidRPr="00F06C6D" w:rsidRDefault="00903021" w:rsidP="00903021">
            <w:pPr>
              <w:pStyle w:val="BodyText"/>
              <w:rPr>
                <w:lang w:eastAsia="en-GB"/>
              </w:rPr>
            </w:pPr>
            <w:r w:rsidRPr="00F06C6D">
              <w:rPr>
                <w:lang w:eastAsia="en-GB"/>
              </w:rPr>
              <w:t>RHEUMATOLOGY</w:t>
            </w:r>
          </w:p>
        </w:tc>
        <w:tc>
          <w:tcPr>
            <w:tcW w:w="4320" w:type="dxa"/>
          </w:tcPr>
          <w:p w14:paraId="36BE80DB"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48</w:t>
            </w:r>
          </w:p>
        </w:tc>
      </w:tr>
      <w:tr w:rsidR="00903021" w14:paraId="3B77FA03"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5FCC14E2" w14:textId="77777777" w:rsidR="00903021" w:rsidRPr="00F06C6D" w:rsidRDefault="00903021" w:rsidP="00903021">
            <w:pPr>
              <w:pStyle w:val="BodyText"/>
              <w:rPr>
                <w:lang w:eastAsia="en-GB"/>
              </w:rPr>
            </w:pPr>
            <w:r w:rsidRPr="00F06C6D">
              <w:rPr>
                <w:lang w:eastAsia="en-GB"/>
              </w:rPr>
              <w:t>DENTAL SURGERY</w:t>
            </w:r>
          </w:p>
        </w:tc>
        <w:tc>
          <w:tcPr>
            <w:tcW w:w="4320" w:type="dxa"/>
          </w:tcPr>
          <w:p w14:paraId="334A10EC"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49</w:t>
            </w:r>
          </w:p>
        </w:tc>
      </w:tr>
      <w:tr w:rsidR="00903021" w14:paraId="12A484C6"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04BF1B7C" w14:textId="77777777" w:rsidR="00903021" w:rsidRPr="00F06C6D" w:rsidRDefault="00903021" w:rsidP="00903021">
            <w:pPr>
              <w:pStyle w:val="BodyText"/>
              <w:rPr>
                <w:lang w:eastAsia="en-GB"/>
              </w:rPr>
            </w:pPr>
            <w:r w:rsidRPr="00F06C6D">
              <w:rPr>
                <w:lang w:eastAsia="en-GB"/>
              </w:rPr>
              <w:t>ORAL SURGERY</w:t>
            </w:r>
          </w:p>
        </w:tc>
        <w:tc>
          <w:tcPr>
            <w:tcW w:w="4320" w:type="dxa"/>
          </w:tcPr>
          <w:p w14:paraId="328E2815"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50</w:t>
            </w:r>
          </w:p>
        </w:tc>
      </w:tr>
      <w:tr w:rsidR="00903021" w14:paraId="0E6659A6"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4C865CEC" w14:textId="77777777" w:rsidR="00903021" w:rsidRPr="00F06C6D" w:rsidRDefault="00903021" w:rsidP="00903021">
            <w:pPr>
              <w:pStyle w:val="BodyText"/>
              <w:rPr>
                <w:lang w:eastAsia="en-GB"/>
              </w:rPr>
            </w:pPr>
            <w:r w:rsidRPr="00F06C6D">
              <w:rPr>
                <w:lang w:eastAsia="en-GB"/>
              </w:rPr>
              <w:t>ORTHODONTICS</w:t>
            </w:r>
          </w:p>
        </w:tc>
        <w:tc>
          <w:tcPr>
            <w:tcW w:w="4320" w:type="dxa"/>
          </w:tcPr>
          <w:p w14:paraId="59A79E07"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51</w:t>
            </w:r>
          </w:p>
        </w:tc>
      </w:tr>
      <w:tr w:rsidR="00903021" w14:paraId="5E62BD67"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0789E663" w14:textId="77777777" w:rsidR="00903021" w:rsidRPr="00F06C6D" w:rsidRDefault="00903021" w:rsidP="00903021">
            <w:pPr>
              <w:pStyle w:val="BodyText"/>
              <w:rPr>
                <w:lang w:eastAsia="en-GB"/>
              </w:rPr>
            </w:pPr>
            <w:r w:rsidRPr="00F06C6D">
              <w:rPr>
                <w:lang w:eastAsia="en-GB"/>
              </w:rPr>
              <w:t>PAEDODONTICS</w:t>
            </w:r>
          </w:p>
        </w:tc>
        <w:tc>
          <w:tcPr>
            <w:tcW w:w="4320" w:type="dxa"/>
          </w:tcPr>
          <w:p w14:paraId="50581677"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52</w:t>
            </w:r>
          </w:p>
        </w:tc>
      </w:tr>
      <w:tr w:rsidR="00903021" w14:paraId="1222F928"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0D090105" w14:textId="77777777" w:rsidR="00903021" w:rsidRPr="00F06C6D" w:rsidRDefault="00903021" w:rsidP="00903021">
            <w:pPr>
              <w:pStyle w:val="BodyText"/>
              <w:rPr>
                <w:lang w:eastAsia="en-GB"/>
              </w:rPr>
            </w:pPr>
            <w:r w:rsidRPr="00F06C6D">
              <w:rPr>
                <w:lang w:eastAsia="en-GB"/>
              </w:rPr>
              <w:t>PERIODONTICS</w:t>
            </w:r>
          </w:p>
        </w:tc>
        <w:tc>
          <w:tcPr>
            <w:tcW w:w="4320" w:type="dxa"/>
          </w:tcPr>
          <w:p w14:paraId="2D78E62C"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53</w:t>
            </w:r>
          </w:p>
        </w:tc>
      </w:tr>
      <w:tr w:rsidR="00903021" w14:paraId="221A30AD"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62BD3ED5" w14:textId="77777777" w:rsidR="00903021" w:rsidRPr="00F06C6D" w:rsidRDefault="00903021" w:rsidP="00903021">
            <w:pPr>
              <w:pStyle w:val="BodyText"/>
              <w:rPr>
                <w:lang w:eastAsia="en-GB"/>
              </w:rPr>
            </w:pPr>
            <w:r w:rsidRPr="00F06C6D">
              <w:rPr>
                <w:lang w:eastAsia="en-GB"/>
              </w:rPr>
              <w:t>ORAL PATHOLOGY</w:t>
            </w:r>
          </w:p>
        </w:tc>
        <w:tc>
          <w:tcPr>
            <w:tcW w:w="4320" w:type="dxa"/>
          </w:tcPr>
          <w:p w14:paraId="11206047"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54</w:t>
            </w:r>
          </w:p>
        </w:tc>
      </w:tr>
      <w:tr w:rsidR="00903021" w14:paraId="2381A61B"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61CA2F1E" w14:textId="77777777" w:rsidR="00903021" w:rsidRPr="00F06C6D" w:rsidRDefault="00903021" w:rsidP="00903021">
            <w:pPr>
              <w:pStyle w:val="BodyText"/>
              <w:rPr>
                <w:lang w:eastAsia="en-GB"/>
              </w:rPr>
            </w:pPr>
            <w:r w:rsidRPr="00F06C6D">
              <w:rPr>
                <w:lang w:eastAsia="en-GB"/>
              </w:rPr>
              <w:t>ENDODONTICS</w:t>
            </w:r>
          </w:p>
        </w:tc>
        <w:tc>
          <w:tcPr>
            <w:tcW w:w="4320" w:type="dxa"/>
          </w:tcPr>
          <w:p w14:paraId="247E7CAC"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55</w:t>
            </w:r>
          </w:p>
        </w:tc>
      </w:tr>
      <w:tr w:rsidR="00903021" w14:paraId="31017065"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3FCE288F" w14:textId="77777777" w:rsidR="00903021" w:rsidRPr="00F06C6D" w:rsidRDefault="00903021" w:rsidP="00903021">
            <w:pPr>
              <w:pStyle w:val="BodyText"/>
              <w:rPr>
                <w:lang w:eastAsia="en-GB"/>
              </w:rPr>
            </w:pPr>
            <w:r w:rsidRPr="00F06C6D">
              <w:rPr>
                <w:lang w:eastAsia="en-GB"/>
              </w:rPr>
              <w:lastRenderedPageBreak/>
              <w:t>CARDIOLOGY</w:t>
            </w:r>
          </w:p>
        </w:tc>
        <w:tc>
          <w:tcPr>
            <w:tcW w:w="4320" w:type="dxa"/>
          </w:tcPr>
          <w:p w14:paraId="62F6CC1D"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60</w:t>
            </w:r>
          </w:p>
        </w:tc>
      </w:tr>
      <w:tr w:rsidR="00903021" w14:paraId="42E4FF88"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1F418FD6" w14:textId="77777777" w:rsidR="00903021" w:rsidRPr="00F06C6D" w:rsidRDefault="00903021" w:rsidP="00903021">
            <w:pPr>
              <w:pStyle w:val="BodyText"/>
              <w:rPr>
                <w:lang w:eastAsia="en-GB"/>
              </w:rPr>
            </w:pPr>
            <w:r w:rsidRPr="00F06C6D">
              <w:rPr>
                <w:lang w:eastAsia="en-GB"/>
              </w:rPr>
              <w:t>HAEMATOLOGY</w:t>
            </w:r>
          </w:p>
        </w:tc>
        <w:tc>
          <w:tcPr>
            <w:tcW w:w="4320" w:type="dxa"/>
          </w:tcPr>
          <w:p w14:paraId="3137C09C"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61</w:t>
            </w:r>
          </w:p>
        </w:tc>
      </w:tr>
      <w:tr w:rsidR="00903021" w14:paraId="034E75C0"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662BDC98" w14:textId="77777777" w:rsidR="00903021" w:rsidRPr="00F06C6D" w:rsidRDefault="00903021" w:rsidP="00903021">
            <w:pPr>
              <w:pStyle w:val="BodyText"/>
              <w:rPr>
                <w:lang w:eastAsia="en-GB"/>
              </w:rPr>
            </w:pPr>
            <w:r w:rsidRPr="00F06C6D">
              <w:rPr>
                <w:lang w:eastAsia="en-GB"/>
              </w:rPr>
              <w:t>CLINICAL IMMUNOLOGY</w:t>
            </w:r>
          </w:p>
        </w:tc>
        <w:tc>
          <w:tcPr>
            <w:tcW w:w="4320" w:type="dxa"/>
          </w:tcPr>
          <w:p w14:paraId="3BBAAB68"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62</w:t>
            </w:r>
          </w:p>
        </w:tc>
      </w:tr>
      <w:tr w:rsidR="00903021" w14:paraId="00375065"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7407E65E" w14:textId="77777777" w:rsidR="00903021" w:rsidRPr="00F06C6D" w:rsidRDefault="00903021" w:rsidP="00903021">
            <w:pPr>
              <w:pStyle w:val="BodyText"/>
              <w:rPr>
                <w:lang w:eastAsia="en-GB"/>
              </w:rPr>
            </w:pPr>
            <w:r w:rsidRPr="00F06C6D">
              <w:rPr>
                <w:lang w:eastAsia="en-GB"/>
              </w:rPr>
              <w:t>NUCLEAR MEDICINE</w:t>
            </w:r>
          </w:p>
        </w:tc>
        <w:tc>
          <w:tcPr>
            <w:tcW w:w="4320" w:type="dxa"/>
          </w:tcPr>
          <w:p w14:paraId="6E1D9703"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63</w:t>
            </w:r>
          </w:p>
        </w:tc>
      </w:tr>
      <w:tr w:rsidR="00903021" w14:paraId="62DC9904"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6513E15F" w14:textId="77777777" w:rsidR="00903021" w:rsidRPr="00F06C6D" w:rsidRDefault="00903021" w:rsidP="00903021">
            <w:pPr>
              <w:pStyle w:val="BodyText"/>
              <w:rPr>
                <w:lang w:eastAsia="en-GB"/>
              </w:rPr>
            </w:pPr>
            <w:r w:rsidRPr="00F06C6D">
              <w:rPr>
                <w:lang w:eastAsia="en-GB"/>
              </w:rPr>
              <w:t>THORACIC SURGERY</w:t>
            </w:r>
          </w:p>
        </w:tc>
        <w:tc>
          <w:tcPr>
            <w:tcW w:w="4320" w:type="dxa"/>
          </w:tcPr>
          <w:p w14:paraId="46B9D992"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64</w:t>
            </w:r>
          </w:p>
        </w:tc>
      </w:tr>
      <w:tr w:rsidR="00903021" w14:paraId="49B50BBB"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43E72CA2" w14:textId="77777777" w:rsidR="00903021" w:rsidRPr="00F06C6D" w:rsidRDefault="00903021" w:rsidP="00903021">
            <w:pPr>
              <w:pStyle w:val="BodyText"/>
              <w:rPr>
                <w:lang w:eastAsia="en-GB"/>
              </w:rPr>
            </w:pPr>
            <w:r w:rsidRPr="00F06C6D">
              <w:rPr>
                <w:lang w:eastAsia="en-GB"/>
              </w:rPr>
              <w:t>ORAL RADIOLOGY</w:t>
            </w:r>
          </w:p>
        </w:tc>
        <w:tc>
          <w:tcPr>
            <w:tcW w:w="4320" w:type="dxa"/>
          </w:tcPr>
          <w:p w14:paraId="16A81833"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70</w:t>
            </w:r>
          </w:p>
        </w:tc>
      </w:tr>
      <w:tr w:rsidR="00903021" w14:paraId="3C0C7810"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418FEF68" w14:textId="77777777" w:rsidR="00903021" w:rsidRPr="00F06C6D" w:rsidRDefault="00903021" w:rsidP="00903021">
            <w:pPr>
              <w:pStyle w:val="BodyText"/>
              <w:rPr>
                <w:lang w:eastAsia="en-GB"/>
              </w:rPr>
            </w:pPr>
            <w:r w:rsidRPr="00F06C6D">
              <w:rPr>
                <w:lang w:eastAsia="en-GB"/>
              </w:rPr>
              <w:t>PROSTHODONTICS</w:t>
            </w:r>
          </w:p>
        </w:tc>
        <w:tc>
          <w:tcPr>
            <w:tcW w:w="4320" w:type="dxa"/>
          </w:tcPr>
          <w:p w14:paraId="49E046E4"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71</w:t>
            </w:r>
          </w:p>
        </w:tc>
      </w:tr>
      <w:tr w:rsidR="00903021" w14:paraId="30689F8A" w14:textId="77777777" w:rsidTr="00903021">
        <w:tc>
          <w:tcPr>
            <w:cnfStyle w:val="001000000000" w:firstRow="0" w:lastRow="0" w:firstColumn="1" w:lastColumn="0" w:oddVBand="0" w:evenVBand="0" w:oddHBand="0" w:evenHBand="0" w:firstRowFirstColumn="0" w:firstRowLastColumn="0" w:lastRowFirstColumn="0" w:lastRowLastColumn="0"/>
            <w:tcW w:w="5210" w:type="dxa"/>
          </w:tcPr>
          <w:p w14:paraId="4566D27B" w14:textId="77777777" w:rsidR="00903021" w:rsidRPr="00F06C6D" w:rsidRDefault="00903021" w:rsidP="00903021">
            <w:pPr>
              <w:pStyle w:val="BodyText"/>
              <w:rPr>
                <w:lang w:eastAsia="en-GB"/>
              </w:rPr>
            </w:pPr>
            <w:r w:rsidRPr="00F06C6D">
              <w:rPr>
                <w:lang w:eastAsia="en-GB"/>
              </w:rPr>
              <w:t>OHIP Medical Oncologist shadow-billings</w:t>
            </w:r>
          </w:p>
        </w:tc>
        <w:tc>
          <w:tcPr>
            <w:tcW w:w="4320" w:type="dxa"/>
          </w:tcPr>
          <w:p w14:paraId="14A59C44" w14:textId="77777777" w:rsidR="00903021" w:rsidRPr="00F06C6D" w:rsidRDefault="00903021" w:rsidP="00903021">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F06C6D">
              <w:rPr>
                <w:lang w:eastAsia="en-GB"/>
              </w:rPr>
              <w:t>SBMEDONC_OHIP_COST</w:t>
            </w:r>
          </w:p>
        </w:tc>
      </w:tr>
      <w:tr w:rsidR="00903021" w14:paraId="1AE23611" w14:textId="77777777" w:rsidTr="00903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38BD4BDF" w14:textId="77777777" w:rsidR="00903021" w:rsidRPr="00F06C6D" w:rsidRDefault="00903021" w:rsidP="00903021">
            <w:pPr>
              <w:pStyle w:val="BodyText"/>
              <w:rPr>
                <w:lang w:eastAsia="en-GB"/>
              </w:rPr>
            </w:pPr>
            <w:r w:rsidRPr="00F06C6D">
              <w:rPr>
                <w:lang w:eastAsia="en-GB"/>
              </w:rPr>
              <w:t>OHIP Radiation Oncologist shadow-billings</w:t>
            </w:r>
          </w:p>
        </w:tc>
        <w:tc>
          <w:tcPr>
            <w:tcW w:w="4320" w:type="dxa"/>
          </w:tcPr>
          <w:p w14:paraId="51148294" w14:textId="77777777" w:rsidR="00903021" w:rsidRPr="00F06C6D" w:rsidRDefault="00903021" w:rsidP="00903021">
            <w:pPr>
              <w:pStyle w:val="BodyText"/>
              <w:cnfStyle w:val="000000100000" w:firstRow="0" w:lastRow="0" w:firstColumn="0" w:lastColumn="0" w:oddVBand="0" w:evenVBand="0" w:oddHBand="1" w:evenHBand="0" w:firstRowFirstColumn="0" w:firstRowLastColumn="0" w:lastRowFirstColumn="0" w:lastRowLastColumn="0"/>
              <w:rPr>
                <w:lang w:eastAsia="en-GB"/>
              </w:rPr>
            </w:pPr>
            <w:r w:rsidRPr="00F06C6D">
              <w:rPr>
                <w:lang w:eastAsia="en-GB"/>
              </w:rPr>
              <w:t>SBRADONC_OHIP_COST</w:t>
            </w:r>
          </w:p>
        </w:tc>
      </w:tr>
    </w:tbl>
    <w:p w14:paraId="3AE711DB" w14:textId="4DA4D58D" w:rsidR="00EA2E25" w:rsidRPr="00EA2E25" w:rsidRDefault="00EA2E25" w:rsidP="00EA2E25">
      <w:pPr>
        <w:rPr>
          <w:sz w:val="14"/>
        </w:rPr>
      </w:pPr>
    </w:p>
    <w:p w14:paraId="47A157A4" w14:textId="7274A41F" w:rsidR="00EA2E25" w:rsidRPr="00903021" w:rsidRDefault="00903021" w:rsidP="00EA2E25">
      <w:pPr>
        <w:rPr>
          <w:b/>
          <w:bCs/>
          <w:sz w:val="22"/>
          <w:szCs w:val="22"/>
        </w:rPr>
      </w:pPr>
      <w:r w:rsidRPr="002619EF">
        <w:rPr>
          <w:b/>
          <w:bCs/>
          <w:sz w:val="22"/>
          <w:szCs w:val="22"/>
        </w:rPr>
        <w:t xml:space="preserve">Table </w:t>
      </w:r>
      <w:r>
        <w:rPr>
          <w:b/>
          <w:bCs/>
          <w:sz w:val="22"/>
          <w:szCs w:val="22"/>
        </w:rPr>
        <w:t xml:space="preserve">8: </w:t>
      </w:r>
      <w:r w:rsidRPr="00903021">
        <w:rPr>
          <w:b/>
          <w:bCs/>
          <w:sz w:val="22"/>
          <w:szCs w:val="22"/>
        </w:rPr>
        <w:t>Other physician billing cost codes</w:t>
      </w:r>
    </w:p>
    <w:p w14:paraId="4A333DE3" w14:textId="2ADA0BF3" w:rsidR="00EA2E25" w:rsidRDefault="00EA2E25" w:rsidP="00EA2E25">
      <w:pPr>
        <w:rPr>
          <w:sz w:val="14"/>
        </w:rPr>
      </w:pPr>
    </w:p>
    <w:tbl>
      <w:tblPr>
        <w:tblStyle w:val="LightList-Accent11"/>
        <w:tblW w:w="9530" w:type="dxa"/>
        <w:tblLook w:val="04A0" w:firstRow="1" w:lastRow="0" w:firstColumn="1" w:lastColumn="0" w:noHBand="0" w:noVBand="1"/>
      </w:tblPr>
      <w:tblGrid>
        <w:gridCol w:w="5210"/>
        <w:gridCol w:w="4320"/>
      </w:tblGrid>
      <w:tr w:rsidR="00903021" w14:paraId="3EF8EDF6" w14:textId="77777777" w:rsidTr="00903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53343B6F" w14:textId="77777777" w:rsidR="00903021" w:rsidRDefault="00903021" w:rsidP="00903021">
            <w:pPr>
              <w:pStyle w:val="BodyText"/>
              <w:rPr>
                <w:lang w:eastAsia="en-GB"/>
              </w:rPr>
            </w:pPr>
            <w:r>
              <w:rPr>
                <w:lang w:eastAsia="en-GB"/>
              </w:rPr>
              <w:t>Description</w:t>
            </w:r>
          </w:p>
        </w:tc>
        <w:tc>
          <w:tcPr>
            <w:tcW w:w="4320" w:type="dxa"/>
          </w:tcPr>
          <w:p w14:paraId="15D8F342" w14:textId="77777777" w:rsidR="00903021" w:rsidRDefault="00903021" w:rsidP="00903021">
            <w:pPr>
              <w:pStyle w:val="BodyText"/>
              <w:cnfStyle w:val="100000000000" w:firstRow="1" w:lastRow="0" w:firstColumn="0" w:lastColumn="0" w:oddVBand="0" w:evenVBand="0" w:oddHBand="0" w:evenHBand="0" w:firstRowFirstColumn="0" w:firstRowLastColumn="0" w:lastRowFirstColumn="0" w:lastRowLastColumn="0"/>
              <w:rPr>
                <w:lang w:eastAsia="en-GB"/>
              </w:rPr>
            </w:pPr>
            <w:r>
              <w:rPr>
                <w:lang w:eastAsia="en-GB"/>
              </w:rPr>
              <w:t>ICES cost code</w:t>
            </w:r>
          </w:p>
        </w:tc>
      </w:tr>
      <w:tr w:rsidR="00903021" w:rsidRPr="00AE3479" w14:paraId="73250DD6" w14:textId="77777777" w:rsidTr="0090302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6ECDDF0A" w14:textId="77777777" w:rsidR="00903021" w:rsidRPr="00AE3479" w:rsidRDefault="00903021" w:rsidP="00903021">
            <w:pPr>
              <w:rPr>
                <w:rFonts w:ascii="Calibri" w:hAnsi="Calibri"/>
                <w:sz w:val="22"/>
              </w:rPr>
            </w:pPr>
            <w:r w:rsidRPr="00AE3479">
              <w:rPr>
                <w:rFonts w:ascii="Calibri" w:hAnsi="Calibri"/>
                <w:sz w:val="22"/>
              </w:rPr>
              <w:t>NON-PHYSICIAN LAB DIRECTOR</w:t>
            </w:r>
          </w:p>
        </w:tc>
        <w:tc>
          <w:tcPr>
            <w:tcW w:w="4320" w:type="dxa"/>
            <w:noWrap/>
            <w:hideMark/>
          </w:tcPr>
          <w:p w14:paraId="6AF27951" w14:textId="77777777" w:rsidR="00903021" w:rsidRPr="00AE3479" w:rsidRDefault="00903021" w:rsidP="00903021">
            <w:pPr>
              <w:cnfStyle w:val="000000100000" w:firstRow="0" w:lastRow="0" w:firstColumn="0" w:lastColumn="0" w:oddVBand="0" w:evenVBand="0" w:oddHBand="1" w:evenHBand="0" w:firstRowFirstColumn="0" w:firstRowLastColumn="0" w:lastRowFirstColumn="0" w:lastRowLastColumn="0"/>
            </w:pPr>
            <w:r w:rsidRPr="00AE3479">
              <w:t>27</w:t>
            </w:r>
          </w:p>
        </w:tc>
      </w:tr>
      <w:tr w:rsidR="00903021" w:rsidRPr="00AE3479" w14:paraId="7D33AB61" w14:textId="77777777" w:rsidTr="00903021">
        <w:trPr>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6F90BCDB" w14:textId="77777777" w:rsidR="00903021" w:rsidRPr="00AE3479" w:rsidRDefault="00903021" w:rsidP="00903021">
            <w:pPr>
              <w:rPr>
                <w:rFonts w:ascii="Calibri" w:hAnsi="Calibri"/>
                <w:sz w:val="22"/>
              </w:rPr>
            </w:pPr>
            <w:r w:rsidRPr="00AE3479">
              <w:rPr>
                <w:rFonts w:ascii="Calibri" w:hAnsi="Calibri"/>
                <w:sz w:val="22"/>
              </w:rPr>
              <w:t>PATHOLOGY, MICROBIOLOGY, CLINICAL BIOCHEMISTRY</w:t>
            </w:r>
          </w:p>
        </w:tc>
        <w:tc>
          <w:tcPr>
            <w:tcW w:w="4320" w:type="dxa"/>
            <w:noWrap/>
            <w:hideMark/>
          </w:tcPr>
          <w:p w14:paraId="1EAA0FFA" w14:textId="77777777" w:rsidR="00903021" w:rsidRPr="00AE3479" w:rsidRDefault="00903021" w:rsidP="00903021">
            <w:pPr>
              <w:cnfStyle w:val="000000000000" w:firstRow="0" w:lastRow="0" w:firstColumn="0" w:lastColumn="0" w:oddVBand="0" w:evenVBand="0" w:oddHBand="0" w:evenHBand="0" w:firstRowFirstColumn="0" w:firstRowLastColumn="0" w:lastRowFirstColumn="0" w:lastRowLastColumn="0"/>
            </w:pPr>
            <w:r w:rsidRPr="00AE3479">
              <w:t>28</w:t>
            </w:r>
          </w:p>
        </w:tc>
      </w:tr>
      <w:tr w:rsidR="00903021" w:rsidRPr="00AE3479" w14:paraId="3CC753F2" w14:textId="77777777" w:rsidTr="0090302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4242A5F8" w14:textId="77777777" w:rsidR="00903021" w:rsidRPr="00AE3479" w:rsidRDefault="00903021" w:rsidP="00903021">
            <w:pPr>
              <w:rPr>
                <w:rFonts w:ascii="Calibri" w:hAnsi="Calibri"/>
                <w:sz w:val="22"/>
              </w:rPr>
            </w:pPr>
            <w:r w:rsidRPr="00AE3479">
              <w:rPr>
                <w:rFonts w:ascii="Calibri" w:hAnsi="Calibri"/>
                <w:sz w:val="22"/>
              </w:rPr>
              <w:t>MICROBIOLOGY</w:t>
            </w:r>
          </w:p>
        </w:tc>
        <w:tc>
          <w:tcPr>
            <w:tcW w:w="4320" w:type="dxa"/>
            <w:noWrap/>
            <w:hideMark/>
          </w:tcPr>
          <w:p w14:paraId="11E5ED25" w14:textId="77777777" w:rsidR="00903021" w:rsidRPr="00AE3479" w:rsidRDefault="00903021" w:rsidP="00903021">
            <w:pPr>
              <w:cnfStyle w:val="000000100000" w:firstRow="0" w:lastRow="0" w:firstColumn="0" w:lastColumn="0" w:oddVBand="0" w:evenVBand="0" w:oddHBand="1" w:evenHBand="0" w:firstRowFirstColumn="0" w:firstRowLastColumn="0" w:lastRowFirstColumn="0" w:lastRowLastColumn="0"/>
            </w:pPr>
            <w:r w:rsidRPr="00AE3479">
              <w:t>29</w:t>
            </w:r>
          </w:p>
        </w:tc>
      </w:tr>
      <w:tr w:rsidR="00903021" w:rsidRPr="00AE3479" w14:paraId="0EA5F072" w14:textId="77777777" w:rsidTr="00903021">
        <w:trPr>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45EC4AE6" w14:textId="77777777" w:rsidR="00903021" w:rsidRPr="00AE3479" w:rsidRDefault="00903021" w:rsidP="00903021">
            <w:pPr>
              <w:rPr>
                <w:rFonts w:ascii="Calibri" w:hAnsi="Calibri"/>
                <w:sz w:val="22"/>
              </w:rPr>
            </w:pPr>
            <w:r w:rsidRPr="00AE3479">
              <w:rPr>
                <w:rFonts w:ascii="Calibri" w:hAnsi="Calibri"/>
                <w:sz w:val="22"/>
              </w:rPr>
              <w:t>CLINICAL BIOCHEMISTRY</w:t>
            </w:r>
          </w:p>
        </w:tc>
        <w:tc>
          <w:tcPr>
            <w:tcW w:w="4320" w:type="dxa"/>
            <w:noWrap/>
            <w:hideMark/>
          </w:tcPr>
          <w:p w14:paraId="1502272F" w14:textId="77777777" w:rsidR="00903021" w:rsidRPr="00AE3479" w:rsidRDefault="00903021" w:rsidP="00903021">
            <w:pPr>
              <w:cnfStyle w:val="000000000000" w:firstRow="0" w:lastRow="0" w:firstColumn="0" w:lastColumn="0" w:oddVBand="0" w:evenVBand="0" w:oddHBand="0" w:evenHBand="0" w:firstRowFirstColumn="0" w:firstRowLastColumn="0" w:lastRowFirstColumn="0" w:lastRowLastColumn="0"/>
            </w:pPr>
            <w:r w:rsidRPr="00AE3479">
              <w:t>30</w:t>
            </w:r>
          </w:p>
        </w:tc>
      </w:tr>
      <w:tr w:rsidR="00903021" w:rsidRPr="00AE3479" w14:paraId="0884C603" w14:textId="77777777" w:rsidTr="0090302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0F060C00" w14:textId="77777777" w:rsidR="00903021" w:rsidRPr="00AE3479" w:rsidRDefault="00903021" w:rsidP="00903021">
            <w:pPr>
              <w:rPr>
                <w:rFonts w:ascii="Calibri" w:hAnsi="Calibri"/>
                <w:sz w:val="22"/>
              </w:rPr>
            </w:pPr>
            <w:r w:rsidRPr="00AE3479">
              <w:rPr>
                <w:rFonts w:ascii="Calibri" w:hAnsi="Calibri"/>
                <w:sz w:val="22"/>
              </w:rPr>
              <w:t>PHYSICAL MEDICINE</w:t>
            </w:r>
          </w:p>
        </w:tc>
        <w:tc>
          <w:tcPr>
            <w:tcW w:w="4320" w:type="dxa"/>
            <w:noWrap/>
            <w:hideMark/>
          </w:tcPr>
          <w:p w14:paraId="76071385" w14:textId="77777777" w:rsidR="00903021" w:rsidRPr="00AE3479" w:rsidRDefault="00903021" w:rsidP="00903021">
            <w:pPr>
              <w:cnfStyle w:val="000000100000" w:firstRow="0" w:lastRow="0" w:firstColumn="0" w:lastColumn="0" w:oddVBand="0" w:evenVBand="0" w:oddHBand="1" w:evenHBand="0" w:firstRowFirstColumn="0" w:firstRowLastColumn="0" w:lastRowFirstColumn="0" w:lastRowLastColumn="0"/>
            </w:pPr>
            <w:r w:rsidRPr="00AE3479">
              <w:t>31</w:t>
            </w:r>
          </w:p>
        </w:tc>
      </w:tr>
      <w:tr w:rsidR="00903021" w:rsidRPr="00AE3479" w14:paraId="557F7539" w14:textId="77777777" w:rsidTr="00903021">
        <w:trPr>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68AD1BC2" w14:textId="77777777" w:rsidR="00903021" w:rsidRPr="00AE3479" w:rsidRDefault="00903021" w:rsidP="00903021">
            <w:pPr>
              <w:rPr>
                <w:rFonts w:ascii="Calibri" w:hAnsi="Calibri"/>
                <w:sz w:val="22"/>
              </w:rPr>
            </w:pPr>
            <w:r w:rsidRPr="00AE3479">
              <w:rPr>
                <w:rFonts w:ascii="Calibri" w:hAnsi="Calibri"/>
                <w:sz w:val="22"/>
              </w:rPr>
              <w:t>OPTOMETRISTS</w:t>
            </w:r>
          </w:p>
        </w:tc>
        <w:tc>
          <w:tcPr>
            <w:tcW w:w="4320" w:type="dxa"/>
            <w:noWrap/>
            <w:hideMark/>
          </w:tcPr>
          <w:p w14:paraId="540EC3EE" w14:textId="77777777" w:rsidR="00903021" w:rsidRPr="00AE3479" w:rsidRDefault="00903021" w:rsidP="00903021">
            <w:pPr>
              <w:cnfStyle w:val="000000000000" w:firstRow="0" w:lastRow="0" w:firstColumn="0" w:lastColumn="0" w:oddVBand="0" w:evenVBand="0" w:oddHBand="0" w:evenHBand="0" w:firstRowFirstColumn="0" w:firstRowLastColumn="0" w:lastRowFirstColumn="0" w:lastRowLastColumn="0"/>
            </w:pPr>
            <w:r w:rsidRPr="00AE3479">
              <w:t>56</w:t>
            </w:r>
          </w:p>
        </w:tc>
      </w:tr>
      <w:tr w:rsidR="00903021" w:rsidRPr="00AE3479" w14:paraId="52999243" w14:textId="77777777" w:rsidTr="0090302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15C0FDE7" w14:textId="77777777" w:rsidR="00903021" w:rsidRPr="00AE3479" w:rsidRDefault="00903021" w:rsidP="00903021">
            <w:pPr>
              <w:rPr>
                <w:rFonts w:ascii="Calibri" w:hAnsi="Calibri"/>
                <w:sz w:val="22"/>
              </w:rPr>
            </w:pPr>
            <w:r w:rsidRPr="00AE3479">
              <w:rPr>
                <w:rFonts w:ascii="Calibri" w:hAnsi="Calibri"/>
                <w:sz w:val="22"/>
              </w:rPr>
              <w:t>OSTEOPATHS</w:t>
            </w:r>
          </w:p>
        </w:tc>
        <w:tc>
          <w:tcPr>
            <w:tcW w:w="4320" w:type="dxa"/>
            <w:noWrap/>
            <w:hideMark/>
          </w:tcPr>
          <w:p w14:paraId="27D93381" w14:textId="77777777" w:rsidR="00903021" w:rsidRPr="00AE3479" w:rsidRDefault="00903021" w:rsidP="00903021">
            <w:pPr>
              <w:cnfStyle w:val="000000100000" w:firstRow="0" w:lastRow="0" w:firstColumn="0" w:lastColumn="0" w:oddVBand="0" w:evenVBand="0" w:oddHBand="1" w:evenHBand="0" w:firstRowFirstColumn="0" w:firstRowLastColumn="0" w:lastRowFirstColumn="0" w:lastRowLastColumn="0"/>
            </w:pPr>
            <w:r w:rsidRPr="00AE3479">
              <w:t>57</w:t>
            </w:r>
          </w:p>
        </w:tc>
      </w:tr>
      <w:tr w:rsidR="00903021" w:rsidRPr="00AE3479" w14:paraId="247E3836" w14:textId="77777777" w:rsidTr="00903021">
        <w:trPr>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688CE93B" w14:textId="77777777" w:rsidR="00903021" w:rsidRPr="00AE3479" w:rsidRDefault="00903021" w:rsidP="00903021">
            <w:pPr>
              <w:rPr>
                <w:rFonts w:ascii="Calibri" w:hAnsi="Calibri"/>
                <w:sz w:val="22"/>
              </w:rPr>
            </w:pPr>
            <w:r w:rsidRPr="00AE3479">
              <w:rPr>
                <w:rFonts w:ascii="Calibri" w:hAnsi="Calibri"/>
                <w:sz w:val="22"/>
              </w:rPr>
              <w:t>CHIROPODISTS</w:t>
            </w:r>
          </w:p>
        </w:tc>
        <w:tc>
          <w:tcPr>
            <w:tcW w:w="4320" w:type="dxa"/>
            <w:noWrap/>
            <w:hideMark/>
          </w:tcPr>
          <w:p w14:paraId="00DC74EC" w14:textId="77777777" w:rsidR="00903021" w:rsidRPr="00AE3479" w:rsidRDefault="00903021" w:rsidP="00903021">
            <w:pPr>
              <w:cnfStyle w:val="000000000000" w:firstRow="0" w:lastRow="0" w:firstColumn="0" w:lastColumn="0" w:oddVBand="0" w:evenVBand="0" w:oddHBand="0" w:evenHBand="0" w:firstRowFirstColumn="0" w:firstRowLastColumn="0" w:lastRowFirstColumn="0" w:lastRowLastColumn="0"/>
            </w:pPr>
            <w:r w:rsidRPr="00AE3479">
              <w:t>58</w:t>
            </w:r>
          </w:p>
        </w:tc>
      </w:tr>
      <w:tr w:rsidR="00903021" w:rsidRPr="00AE3479" w14:paraId="0F5E39EB" w14:textId="77777777" w:rsidTr="0090302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193F251F" w14:textId="77777777" w:rsidR="00903021" w:rsidRPr="00AE3479" w:rsidRDefault="00903021" w:rsidP="00903021">
            <w:pPr>
              <w:rPr>
                <w:rFonts w:ascii="Calibri" w:hAnsi="Calibri"/>
                <w:sz w:val="22"/>
              </w:rPr>
            </w:pPr>
            <w:r w:rsidRPr="00AE3479">
              <w:rPr>
                <w:rFonts w:ascii="Calibri" w:hAnsi="Calibri"/>
                <w:sz w:val="22"/>
              </w:rPr>
              <w:t>CHIROPRACTOR</w:t>
            </w:r>
          </w:p>
        </w:tc>
        <w:tc>
          <w:tcPr>
            <w:tcW w:w="4320" w:type="dxa"/>
            <w:noWrap/>
            <w:hideMark/>
          </w:tcPr>
          <w:p w14:paraId="267FC967" w14:textId="77777777" w:rsidR="00903021" w:rsidRPr="00AE3479" w:rsidRDefault="00903021" w:rsidP="00903021">
            <w:pPr>
              <w:cnfStyle w:val="000000100000" w:firstRow="0" w:lastRow="0" w:firstColumn="0" w:lastColumn="0" w:oddVBand="0" w:evenVBand="0" w:oddHBand="1" w:evenHBand="0" w:firstRowFirstColumn="0" w:firstRowLastColumn="0" w:lastRowFirstColumn="0" w:lastRowLastColumn="0"/>
            </w:pPr>
            <w:r w:rsidRPr="00AE3479">
              <w:t>59</w:t>
            </w:r>
          </w:p>
        </w:tc>
      </w:tr>
      <w:tr w:rsidR="00903021" w:rsidRPr="00AE3479" w14:paraId="291F43D7" w14:textId="77777777" w:rsidTr="00903021">
        <w:trPr>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2CE09EC3" w14:textId="77777777" w:rsidR="00903021" w:rsidRPr="00AE3479" w:rsidRDefault="00903021" w:rsidP="00903021">
            <w:pPr>
              <w:rPr>
                <w:rFonts w:ascii="Calibri" w:hAnsi="Calibri"/>
                <w:sz w:val="22"/>
              </w:rPr>
            </w:pPr>
            <w:r w:rsidRPr="00AE3479">
              <w:rPr>
                <w:rFonts w:ascii="Calibri" w:hAnsi="Calibri"/>
                <w:sz w:val="22"/>
              </w:rPr>
              <w:t>MIDWIVES</w:t>
            </w:r>
          </w:p>
        </w:tc>
        <w:tc>
          <w:tcPr>
            <w:tcW w:w="4320" w:type="dxa"/>
            <w:noWrap/>
            <w:hideMark/>
          </w:tcPr>
          <w:p w14:paraId="40376B61" w14:textId="77777777" w:rsidR="00903021" w:rsidRPr="00AE3479" w:rsidRDefault="00903021" w:rsidP="00903021">
            <w:pPr>
              <w:cnfStyle w:val="000000000000" w:firstRow="0" w:lastRow="0" w:firstColumn="0" w:lastColumn="0" w:oddVBand="0" w:evenVBand="0" w:oddHBand="0" w:evenHBand="0" w:firstRowFirstColumn="0" w:firstRowLastColumn="0" w:lastRowFirstColumn="0" w:lastRowLastColumn="0"/>
            </w:pPr>
            <w:r w:rsidRPr="00AE3479">
              <w:t>75</w:t>
            </w:r>
          </w:p>
        </w:tc>
      </w:tr>
      <w:tr w:rsidR="00903021" w:rsidRPr="00AE3479" w14:paraId="3A89B7B4" w14:textId="77777777" w:rsidTr="0090302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2F7A57F0" w14:textId="77777777" w:rsidR="00903021" w:rsidRPr="00AE3479" w:rsidRDefault="00903021" w:rsidP="00903021">
            <w:pPr>
              <w:rPr>
                <w:rFonts w:ascii="Calibri" w:hAnsi="Calibri"/>
                <w:sz w:val="22"/>
              </w:rPr>
            </w:pPr>
            <w:r w:rsidRPr="00AE3479">
              <w:rPr>
                <w:rFonts w:ascii="Calibri" w:hAnsi="Calibri"/>
                <w:sz w:val="22"/>
              </w:rPr>
              <w:t>NURSE PRACTITIONERS</w:t>
            </w:r>
          </w:p>
        </w:tc>
        <w:tc>
          <w:tcPr>
            <w:tcW w:w="4320" w:type="dxa"/>
            <w:noWrap/>
            <w:hideMark/>
          </w:tcPr>
          <w:p w14:paraId="038C5AF2" w14:textId="77777777" w:rsidR="00903021" w:rsidRPr="00AE3479" w:rsidRDefault="00903021" w:rsidP="00903021">
            <w:pPr>
              <w:cnfStyle w:val="000000100000" w:firstRow="0" w:lastRow="0" w:firstColumn="0" w:lastColumn="0" w:oddVBand="0" w:evenVBand="0" w:oddHBand="1" w:evenHBand="0" w:firstRowFirstColumn="0" w:firstRowLastColumn="0" w:lastRowFirstColumn="0" w:lastRowLastColumn="0"/>
            </w:pPr>
            <w:r w:rsidRPr="00AE3479">
              <w:t>76</w:t>
            </w:r>
          </w:p>
        </w:tc>
      </w:tr>
      <w:tr w:rsidR="00903021" w:rsidRPr="00AE3479" w14:paraId="4A8F8148" w14:textId="77777777" w:rsidTr="00903021">
        <w:trPr>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50593A4C" w14:textId="77777777" w:rsidR="00903021" w:rsidRPr="00AE3479" w:rsidRDefault="00903021" w:rsidP="00903021">
            <w:pPr>
              <w:rPr>
                <w:rFonts w:ascii="Calibri" w:hAnsi="Calibri"/>
                <w:sz w:val="22"/>
              </w:rPr>
            </w:pPr>
            <w:r w:rsidRPr="00AE3479">
              <w:rPr>
                <w:rFonts w:ascii="Calibri" w:hAnsi="Calibri"/>
                <w:sz w:val="22"/>
              </w:rPr>
              <w:t>PHYSIOTHERAPY (HOME)</w:t>
            </w:r>
          </w:p>
        </w:tc>
        <w:tc>
          <w:tcPr>
            <w:tcW w:w="4320" w:type="dxa"/>
            <w:noWrap/>
            <w:hideMark/>
          </w:tcPr>
          <w:p w14:paraId="0A1E6182" w14:textId="77777777" w:rsidR="00903021" w:rsidRPr="00AE3479" w:rsidRDefault="00903021" w:rsidP="00903021">
            <w:pPr>
              <w:cnfStyle w:val="000000000000" w:firstRow="0" w:lastRow="0" w:firstColumn="0" w:lastColumn="0" w:oddVBand="0" w:evenVBand="0" w:oddHBand="0" w:evenHBand="0" w:firstRowFirstColumn="0" w:firstRowLastColumn="0" w:lastRowFirstColumn="0" w:lastRowLastColumn="0"/>
            </w:pPr>
            <w:r w:rsidRPr="00AE3479">
              <w:t>80</w:t>
            </w:r>
          </w:p>
        </w:tc>
      </w:tr>
      <w:tr w:rsidR="00903021" w:rsidRPr="00AE3479" w14:paraId="42553096" w14:textId="77777777" w:rsidTr="0090302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7E5F84D0" w14:textId="77777777" w:rsidR="00903021" w:rsidRPr="00AE3479" w:rsidRDefault="00903021" w:rsidP="00903021">
            <w:pPr>
              <w:rPr>
                <w:rFonts w:ascii="Calibri" w:hAnsi="Calibri"/>
                <w:sz w:val="22"/>
              </w:rPr>
            </w:pPr>
            <w:r w:rsidRPr="00AE3479">
              <w:rPr>
                <w:rFonts w:ascii="Calibri" w:hAnsi="Calibri"/>
                <w:sz w:val="22"/>
              </w:rPr>
              <w:t>PHYSIOTHERAPY (HOME/OFFICE)</w:t>
            </w:r>
          </w:p>
        </w:tc>
        <w:tc>
          <w:tcPr>
            <w:tcW w:w="4320" w:type="dxa"/>
            <w:noWrap/>
            <w:hideMark/>
          </w:tcPr>
          <w:p w14:paraId="317721B7" w14:textId="77777777" w:rsidR="00903021" w:rsidRPr="00AE3479" w:rsidRDefault="00903021" w:rsidP="00903021">
            <w:pPr>
              <w:cnfStyle w:val="000000100000" w:firstRow="0" w:lastRow="0" w:firstColumn="0" w:lastColumn="0" w:oddVBand="0" w:evenVBand="0" w:oddHBand="1" w:evenHBand="0" w:firstRowFirstColumn="0" w:firstRowLastColumn="0" w:lastRowFirstColumn="0" w:lastRowLastColumn="0"/>
            </w:pPr>
            <w:r w:rsidRPr="00AE3479">
              <w:t>81</w:t>
            </w:r>
          </w:p>
        </w:tc>
      </w:tr>
      <w:tr w:rsidR="00903021" w:rsidRPr="00AE3479" w14:paraId="5A7F4982" w14:textId="77777777" w:rsidTr="00903021">
        <w:trPr>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5935D2CB" w14:textId="77777777" w:rsidR="00903021" w:rsidRPr="00AE3479" w:rsidRDefault="00903021" w:rsidP="00903021">
            <w:pPr>
              <w:rPr>
                <w:rFonts w:ascii="Calibri" w:hAnsi="Calibri"/>
                <w:sz w:val="22"/>
              </w:rPr>
            </w:pPr>
            <w:r w:rsidRPr="00AE3479">
              <w:rPr>
                <w:rFonts w:ascii="Calibri" w:hAnsi="Calibri"/>
                <w:sz w:val="22"/>
              </w:rPr>
              <w:t>ALTERNATE HEALTH PROFESSIONALS</w:t>
            </w:r>
          </w:p>
        </w:tc>
        <w:tc>
          <w:tcPr>
            <w:tcW w:w="4320" w:type="dxa"/>
            <w:noWrap/>
            <w:hideMark/>
          </w:tcPr>
          <w:p w14:paraId="00E48998" w14:textId="77777777" w:rsidR="00903021" w:rsidRPr="00AE3479" w:rsidRDefault="00903021" w:rsidP="00903021">
            <w:pPr>
              <w:cnfStyle w:val="000000000000" w:firstRow="0" w:lastRow="0" w:firstColumn="0" w:lastColumn="0" w:oddVBand="0" w:evenVBand="0" w:oddHBand="0" w:evenHBand="0" w:firstRowFirstColumn="0" w:firstRowLastColumn="0" w:lastRowFirstColumn="0" w:lastRowLastColumn="0"/>
            </w:pPr>
            <w:r w:rsidRPr="00AE3479">
              <w:t>85</w:t>
            </w:r>
          </w:p>
        </w:tc>
      </w:tr>
      <w:tr w:rsidR="00903021" w:rsidRPr="00AE3479" w14:paraId="0DE760DB" w14:textId="77777777" w:rsidTr="0090302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6033F065" w14:textId="77777777" w:rsidR="00903021" w:rsidRPr="00AE3479" w:rsidRDefault="00903021" w:rsidP="00903021">
            <w:pPr>
              <w:rPr>
                <w:rFonts w:ascii="Calibri" w:hAnsi="Calibri"/>
                <w:sz w:val="22"/>
              </w:rPr>
            </w:pPr>
            <w:proofErr w:type="gramStart"/>
            <w:r w:rsidRPr="00AE3479">
              <w:rPr>
                <w:rFonts w:ascii="Calibri" w:hAnsi="Calibri"/>
                <w:sz w:val="22"/>
              </w:rPr>
              <w:t>NON MEDICAL</w:t>
            </w:r>
            <w:proofErr w:type="gramEnd"/>
            <w:r w:rsidRPr="00AE3479">
              <w:rPr>
                <w:rFonts w:ascii="Calibri" w:hAnsi="Calibri"/>
                <w:sz w:val="22"/>
              </w:rPr>
              <w:t xml:space="preserve"> PROFESSIONLS FOR IHF</w:t>
            </w:r>
          </w:p>
        </w:tc>
        <w:tc>
          <w:tcPr>
            <w:tcW w:w="4320" w:type="dxa"/>
            <w:noWrap/>
            <w:hideMark/>
          </w:tcPr>
          <w:p w14:paraId="439A34C6" w14:textId="77777777" w:rsidR="00903021" w:rsidRPr="00AE3479" w:rsidRDefault="00903021" w:rsidP="00903021">
            <w:pPr>
              <w:cnfStyle w:val="000000100000" w:firstRow="0" w:lastRow="0" w:firstColumn="0" w:lastColumn="0" w:oddVBand="0" w:evenVBand="0" w:oddHBand="1" w:evenHBand="0" w:firstRowFirstColumn="0" w:firstRowLastColumn="0" w:lastRowFirstColumn="0" w:lastRowLastColumn="0"/>
            </w:pPr>
            <w:r w:rsidRPr="00AE3479">
              <w:t>90</w:t>
            </w:r>
          </w:p>
        </w:tc>
      </w:tr>
      <w:tr w:rsidR="00903021" w:rsidRPr="00AE3479" w14:paraId="4739EC52" w14:textId="77777777" w:rsidTr="00903021">
        <w:trPr>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007B6BA2" w14:textId="77777777" w:rsidR="00903021" w:rsidRPr="00AE3479" w:rsidRDefault="00903021" w:rsidP="00903021">
            <w:pPr>
              <w:rPr>
                <w:rFonts w:ascii="Calibri" w:hAnsi="Calibri"/>
                <w:sz w:val="22"/>
              </w:rPr>
            </w:pPr>
            <w:r w:rsidRPr="00AE3479">
              <w:rPr>
                <w:rFonts w:ascii="Calibri" w:hAnsi="Calibri"/>
                <w:sz w:val="22"/>
              </w:rPr>
              <w:t xml:space="preserve">OHIP Lab billings (all ‘L’ </w:t>
            </w:r>
            <w:proofErr w:type="spellStart"/>
            <w:r w:rsidRPr="00AE3479">
              <w:rPr>
                <w:rFonts w:ascii="Calibri" w:hAnsi="Calibri"/>
                <w:sz w:val="22"/>
              </w:rPr>
              <w:t>feecodes</w:t>
            </w:r>
            <w:proofErr w:type="spellEnd"/>
            <w:r w:rsidRPr="00AE3479">
              <w:rPr>
                <w:rFonts w:ascii="Calibri" w:hAnsi="Calibri"/>
                <w:sz w:val="22"/>
              </w:rPr>
              <w:t xml:space="preserve"> combined)</w:t>
            </w:r>
          </w:p>
        </w:tc>
        <w:tc>
          <w:tcPr>
            <w:tcW w:w="4320" w:type="dxa"/>
            <w:noWrap/>
            <w:hideMark/>
          </w:tcPr>
          <w:p w14:paraId="19DCD090" w14:textId="77777777" w:rsidR="00903021" w:rsidRPr="00AE3479" w:rsidRDefault="00903021" w:rsidP="00903021">
            <w:pPr>
              <w:cnfStyle w:val="000000000000" w:firstRow="0" w:lastRow="0" w:firstColumn="0" w:lastColumn="0" w:oddVBand="0" w:evenVBand="0" w:oddHBand="0" w:evenHBand="0" w:firstRowFirstColumn="0" w:firstRowLastColumn="0" w:lastRowFirstColumn="0" w:lastRowLastColumn="0"/>
            </w:pPr>
            <w:r w:rsidRPr="00AE3479">
              <w:t>LAB_OHIP_COST</w:t>
            </w:r>
          </w:p>
        </w:tc>
      </w:tr>
      <w:tr w:rsidR="00903021" w:rsidRPr="00AE3479" w14:paraId="65472862" w14:textId="77777777" w:rsidTr="0090302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142BDA20" w14:textId="77777777" w:rsidR="00903021" w:rsidRPr="00AE3479" w:rsidRDefault="00903021" w:rsidP="00903021">
            <w:pPr>
              <w:rPr>
                <w:rFonts w:ascii="Calibri" w:hAnsi="Calibri"/>
                <w:sz w:val="22"/>
              </w:rPr>
            </w:pPr>
            <w:r w:rsidRPr="00AE3479">
              <w:rPr>
                <w:rFonts w:ascii="Calibri" w:hAnsi="Calibri"/>
                <w:sz w:val="22"/>
              </w:rPr>
              <w:t>OHIP non-Physician billings</w:t>
            </w:r>
          </w:p>
        </w:tc>
        <w:tc>
          <w:tcPr>
            <w:tcW w:w="4320" w:type="dxa"/>
            <w:noWrap/>
            <w:hideMark/>
          </w:tcPr>
          <w:p w14:paraId="715BAEA0" w14:textId="77777777" w:rsidR="00903021" w:rsidRPr="00AE3479" w:rsidRDefault="00903021" w:rsidP="00903021">
            <w:pPr>
              <w:cnfStyle w:val="000000100000" w:firstRow="0" w:lastRow="0" w:firstColumn="0" w:lastColumn="0" w:oddVBand="0" w:evenVBand="0" w:oddHBand="1" w:evenHBand="0" w:firstRowFirstColumn="0" w:firstRowLastColumn="0" w:lastRowFirstColumn="0" w:lastRowLastColumn="0"/>
            </w:pPr>
            <w:r w:rsidRPr="00AE3479">
              <w:t>NONPHYSCIAN_OHIP_COST</w:t>
            </w:r>
          </w:p>
        </w:tc>
      </w:tr>
      <w:tr w:rsidR="00903021" w:rsidRPr="00AE3479" w14:paraId="443C01A3" w14:textId="77777777" w:rsidTr="00903021">
        <w:trPr>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75E525F8" w14:textId="77777777" w:rsidR="00903021" w:rsidRPr="00AE3479" w:rsidRDefault="00903021" w:rsidP="00903021">
            <w:pPr>
              <w:rPr>
                <w:rFonts w:ascii="Calibri" w:hAnsi="Calibri"/>
                <w:sz w:val="22"/>
              </w:rPr>
            </w:pPr>
            <w:r w:rsidRPr="00AE3479">
              <w:rPr>
                <w:rFonts w:ascii="Calibri" w:hAnsi="Calibri"/>
                <w:sz w:val="22"/>
              </w:rPr>
              <w:t>OHIP ED-AFA shadow-billings</w:t>
            </w:r>
          </w:p>
        </w:tc>
        <w:tc>
          <w:tcPr>
            <w:tcW w:w="4320" w:type="dxa"/>
            <w:noWrap/>
            <w:hideMark/>
          </w:tcPr>
          <w:p w14:paraId="72EE8A49" w14:textId="77777777" w:rsidR="00903021" w:rsidRPr="00AE3479" w:rsidRDefault="00903021" w:rsidP="00903021">
            <w:pPr>
              <w:cnfStyle w:val="000000000000" w:firstRow="0" w:lastRow="0" w:firstColumn="0" w:lastColumn="0" w:oddVBand="0" w:evenVBand="0" w:oddHBand="0" w:evenHBand="0" w:firstRowFirstColumn="0" w:firstRowLastColumn="0" w:lastRowFirstColumn="0" w:lastRowLastColumn="0"/>
            </w:pPr>
            <w:r w:rsidRPr="00AE3479">
              <w:t>SBEDAFA_OHIP_COST</w:t>
            </w:r>
          </w:p>
        </w:tc>
      </w:tr>
      <w:tr w:rsidR="00903021" w:rsidRPr="00AE3479" w14:paraId="32C41CE0" w14:textId="77777777" w:rsidTr="0090302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4D17B271" w14:textId="77777777" w:rsidR="00903021" w:rsidRPr="00AE3479" w:rsidRDefault="00903021" w:rsidP="00903021">
            <w:pPr>
              <w:rPr>
                <w:rFonts w:ascii="Calibri" w:hAnsi="Calibri"/>
                <w:sz w:val="22"/>
              </w:rPr>
            </w:pPr>
            <w:r w:rsidRPr="00AE3479">
              <w:rPr>
                <w:rFonts w:ascii="Calibri" w:hAnsi="Calibri"/>
                <w:sz w:val="22"/>
              </w:rPr>
              <w:t>OHIP FHO/FHN shadow-billings</w:t>
            </w:r>
          </w:p>
        </w:tc>
        <w:tc>
          <w:tcPr>
            <w:tcW w:w="4320" w:type="dxa"/>
            <w:noWrap/>
            <w:hideMark/>
          </w:tcPr>
          <w:p w14:paraId="212565EE" w14:textId="77777777" w:rsidR="00903021" w:rsidRPr="00AE3479" w:rsidRDefault="00903021" w:rsidP="00903021">
            <w:pPr>
              <w:cnfStyle w:val="000000100000" w:firstRow="0" w:lastRow="0" w:firstColumn="0" w:lastColumn="0" w:oddVBand="0" w:evenVBand="0" w:oddHBand="1" w:evenHBand="0" w:firstRowFirstColumn="0" w:firstRowLastColumn="0" w:lastRowFirstColumn="0" w:lastRowLastColumn="0"/>
            </w:pPr>
            <w:r w:rsidRPr="00AE3479">
              <w:t>SBFHOFHN_OHIP_COST</w:t>
            </w:r>
          </w:p>
        </w:tc>
      </w:tr>
      <w:tr w:rsidR="00903021" w:rsidRPr="00AE3479" w14:paraId="74EF4C00" w14:textId="77777777" w:rsidTr="00903021">
        <w:trPr>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289486CE" w14:textId="77777777" w:rsidR="00903021" w:rsidRPr="00AE3479" w:rsidRDefault="00903021" w:rsidP="00903021">
            <w:pPr>
              <w:rPr>
                <w:rFonts w:ascii="Calibri" w:hAnsi="Calibri"/>
                <w:sz w:val="22"/>
              </w:rPr>
            </w:pPr>
            <w:r w:rsidRPr="00AE3479">
              <w:rPr>
                <w:rFonts w:ascii="Calibri" w:hAnsi="Calibri"/>
                <w:sz w:val="22"/>
              </w:rPr>
              <w:t>OHIP Other shadow-billings</w:t>
            </w:r>
          </w:p>
        </w:tc>
        <w:tc>
          <w:tcPr>
            <w:tcW w:w="4320" w:type="dxa"/>
            <w:noWrap/>
            <w:hideMark/>
          </w:tcPr>
          <w:p w14:paraId="650466F9" w14:textId="77777777" w:rsidR="00903021" w:rsidRPr="00AE3479" w:rsidRDefault="00903021" w:rsidP="00903021">
            <w:pPr>
              <w:cnfStyle w:val="000000000000" w:firstRow="0" w:lastRow="0" w:firstColumn="0" w:lastColumn="0" w:oddVBand="0" w:evenVBand="0" w:oddHBand="0" w:evenHBand="0" w:firstRowFirstColumn="0" w:firstRowLastColumn="0" w:lastRowFirstColumn="0" w:lastRowLastColumn="0"/>
            </w:pPr>
            <w:r w:rsidRPr="00AE3479">
              <w:t>SBOTHER_OHIP_COST</w:t>
            </w:r>
          </w:p>
        </w:tc>
      </w:tr>
      <w:tr w:rsidR="00903021" w:rsidRPr="00AE3479" w14:paraId="5CE1FA48" w14:textId="77777777" w:rsidTr="0090302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10" w:type="dxa"/>
            <w:noWrap/>
            <w:hideMark/>
          </w:tcPr>
          <w:p w14:paraId="1B438B45" w14:textId="77777777" w:rsidR="00903021" w:rsidRPr="00AE3479" w:rsidRDefault="00903021" w:rsidP="00903021">
            <w:pPr>
              <w:rPr>
                <w:rFonts w:ascii="Calibri" w:hAnsi="Calibri"/>
                <w:sz w:val="22"/>
              </w:rPr>
            </w:pPr>
            <w:r w:rsidRPr="00AE3479">
              <w:rPr>
                <w:rFonts w:ascii="Calibri" w:hAnsi="Calibri"/>
                <w:sz w:val="22"/>
              </w:rPr>
              <w:t>FHO/FHN physician capitation cost</w:t>
            </w:r>
          </w:p>
        </w:tc>
        <w:tc>
          <w:tcPr>
            <w:tcW w:w="4320" w:type="dxa"/>
            <w:hideMark/>
          </w:tcPr>
          <w:p w14:paraId="0942A5DE" w14:textId="77777777" w:rsidR="00903021" w:rsidRPr="00AE3479" w:rsidRDefault="00903021" w:rsidP="00903021">
            <w:pPr>
              <w:cnfStyle w:val="000000100000" w:firstRow="0" w:lastRow="0" w:firstColumn="0" w:lastColumn="0" w:oddVBand="0" w:evenVBand="0" w:oddHBand="1" w:evenHBand="0" w:firstRowFirstColumn="0" w:firstRowLastColumn="0" w:lastRowFirstColumn="0" w:lastRowLastColumn="0"/>
            </w:pPr>
            <w:r w:rsidRPr="00AE3479">
              <w:t>CAP_COST</w:t>
            </w:r>
          </w:p>
        </w:tc>
      </w:tr>
    </w:tbl>
    <w:p w14:paraId="57F5975E" w14:textId="6A8255CA" w:rsidR="008D0D0D" w:rsidRPr="00EA2E25" w:rsidRDefault="00EA2E25" w:rsidP="00EA2E25">
      <w:pPr>
        <w:tabs>
          <w:tab w:val="left" w:pos="5585"/>
        </w:tabs>
        <w:rPr>
          <w:sz w:val="14"/>
        </w:rPr>
      </w:pPr>
      <w:r>
        <w:rPr>
          <w:sz w:val="14"/>
        </w:rPr>
        <w:tab/>
      </w:r>
    </w:p>
    <w:sectPr w:rsidR="008D0D0D" w:rsidRPr="00EA2E25" w:rsidSect="00152B4F">
      <w:headerReference w:type="default" r:id="rId15"/>
      <w:footerReference w:type="default" r:id="rId16"/>
      <w:pgSz w:w="12240" w:h="15840" w:code="1"/>
      <w:pgMar w:top="1872"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E1547" w14:textId="77777777" w:rsidR="000B478A" w:rsidRDefault="000B478A" w:rsidP="00C72622">
      <w:r>
        <w:separator/>
      </w:r>
    </w:p>
  </w:endnote>
  <w:endnote w:type="continuationSeparator" w:id="0">
    <w:p w14:paraId="7A1DDA24" w14:textId="77777777" w:rsidR="000B478A" w:rsidRDefault="000B478A" w:rsidP="00C7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A8D0A" w14:textId="403C0B32" w:rsidR="008D0D0D" w:rsidRPr="00FB0810" w:rsidRDefault="008D0D0D" w:rsidP="00FB0810">
    <w:pPr>
      <w:pStyle w:val="NormalWeb"/>
      <w:rPr>
        <w:rFonts w:asciiTheme="minorHAnsi" w:hAnsiTheme="minorHAnsi"/>
        <w:sz w:val="16"/>
      </w:rPr>
    </w:pPr>
    <w:r>
      <w:rPr>
        <w:rFonts w:asciiTheme="minorHAnsi" w:hAnsiTheme="minorHAnsi"/>
        <w:sz w:val="16"/>
      </w:rPr>
      <w:t xml:space="preserve">ICES DCP Template v. 1.6 02/01/2020) </w:t>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sdt>
      <w:sdtPr>
        <w:rPr>
          <w:rFonts w:asciiTheme="minorHAnsi" w:hAnsiTheme="minorHAnsi"/>
          <w:sz w:val="16"/>
        </w:rPr>
        <w:id w:val="1078781694"/>
        <w:docPartObj>
          <w:docPartGallery w:val="Page Numbers (Bottom of Page)"/>
          <w:docPartUnique/>
        </w:docPartObj>
      </w:sdtPr>
      <w:sdtEndPr>
        <w:rPr>
          <w:noProof/>
        </w:rPr>
      </w:sdtEndPr>
      <w:sdtContent>
        <w:r>
          <w:rPr>
            <w:rFonts w:asciiTheme="minorHAnsi" w:hAnsiTheme="minorHAnsi"/>
            <w:sz w:val="16"/>
          </w:rPr>
          <w:t xml:space="preserve">Page </w:t>
        </w:r>
        <w:r w:rsidRPr="00FB0810">
          <w:rPr>
            <w:rFonts w:asciiTheme="minorHAnsi" w:hAnsiTheme="minorHAnsi"/>
            <w:sz w:val="16"/>
          </w:rPr>
          <w:fldChar w:fldCharType="begin"/>
        </w:r>
        <w:r w:rsidRPr="00FB0810">
          <w:rPr>
            <w:rFonts w:asciiTheme="minorHAnsi" w:hAnsiTheme="minorHAnsi"/>
            <w:sz w:val="16"/>
          </w:rPr>
          <w:instrText xml:space="preserve"> PAGE   \* MERGEFORMAT </w:instrText>
        </w:r>
        <w:r w:rsidRPr="00FB0810">
          <w:rPr>
            <w:rFonts w:asciiTheme="minorHAnsi" w:hAnsiTheme="minorHAnsi"/>
            <w:sz w:val="16"/>
          </w:rPr>
          <w:fldChar w:fldCharType="separate"/>
        </w:r>
        <w:r>
          <w:rPr>
            <w:rFonts w:asciiTheme="minorHAnsi" w:hAnsiTheme="minorHAnsi"/>
            <w:noProof/>
            <w:sz w:val="16"/>
          </w:rPr>
          <w:t>4</w:t>
        </w:r>
        <w:r w:rsidRPr="00FB0810">
          <w:rPr>
            <w:rFonts w:asciiTheme="minorHAnsi" w:hAnsiTheme="minorHAnsi"/>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0C90" w14:textId="77777777" w:rsidR="000B478A" w:rsidRDefault="000B478A" w:rsidP="00C72622">
      <w:r>
        <w:separator/>
      </w:r>
    </w:p>
  </w:footnote>
  <w:footnote w:type="continuationSeparator" w:id="0">
    <w:p w14:paraId="0FE7555B" w14:textId="77777777" w:rsidR="000B478A" w:rsidRDefault="000B478A" w:rsidP="00C7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A8D09" w14:textId="77777777" w:rsidR="008D0D0D" w:rsidRDefault="008D0D0D">
    <w:pPr>
      <w:pStyle w:val="Header"/>
    </w:pPr>
    <w:r>
      <w:rPr>
        <w:noProof/>
      </w:rPr>
      <mc:AlternateContent>
        <mc:Choice Requires="wpg">
          <w:drawing>
            <wp:anchor distT="0" distB="0" distL="114300" distR="114300" simplePos="0" relativeHeight="251659264" behindDoc="0" locked="0" layoutInCell="1" allowOverlap="1" wp14:anchorId="2C1A8D0B" wp14:editId="1F14F6E8">
              <wp:simplePos x="0" y="0"/>
              <wp:positionH relativeFrom="column">
                <wp:posOffset>59267</wp:posOffset>
              </wp:positionH>
              <wp:positionV relativeFrom="paragraph">
                <wp:posOffset>-16933</wp:posOffset>
              </wp:positionV>
              <wp:extent cx="6264277" cy="687689"/>
              <wp:effectExtent l="0" t="0" r="3175" b="0"/>
              <wp:wrapNone/>
              <wp:docPr id="16" name="Group 16"/>
              <wp:cNvGraphicFramePr/>
              <a:graphic xmlns:a="http://schemas.openxmlformats.org/drawingml/2006/main">
                <a:graphicData uri="http://schemas.microsoft.com/office/word/2010/wordprocessingGroup">
                  <wpg:wgp>
                    <wpg:cNvGrpSpPr/>
                    <wpg:grpSpPr>
                      <a:xfrm>
                        <a:off x="0" y="0"/>
                        <a:ext cx="6247198" cy="687689"/>
                        <a:chOff x="16298" y="0"/>
                        <a:chExt cx="5961549" cy="687689"/>
                      </a:xfrm>
                    </wpg:grpSpPr>
                    <wps:wsp>
                      <wps:cNvPr id="15" name="Text Box 15"/>
                      <wps:cNvSpPr txBox="1"/>
                      <wps:spPr>
                        <a:xfrm>
                          <a:off x="3433803" y="271563"/>
                          <a:ext cx="2544044" cy="210185"/>
                        </a:xfrm>
                        <a:prstGeom prst="rect">
                          <a:avLst/>
                        </a:prstGeom>
                        <a:noFill/>
                        <a:ln w="6350">
                          <a:noFill/>
                        </a:ln>
                        <a:effectLst/>
                      </wps:spPr>
                      <wps:txbx>
                        <w:txbxContent>
                          <w:p w14:paraId="2C1A8D0D" w14:textId="60831BE8" w:rsidR="008D0D0D" w:rsidRPr="004136BD" w:rsidRDefault="008D0D0D" w:rsidP="00CC5B64">
                            <w:pPr>
                              <w:pStyle w:val="Header"/>
                              <w:jc w:val="right"/>
                              <w:rPr>
                                <w:b/>
                                <w:noProof/>
                                <w:color w:val="7F7F7F" w:themeColor="text1" w:themeTint="80"/>
                                <w:sz w:val="24"/>
                                <w:szCs w:val="36"/>
                                <w:lang w:val="en-CA"/>
                              </w:rPr>
                            </w:pPr>
                            <w:r>
                              <w:rPr>
                                <w:b/>
                                <w:color w:val="7F7F7F" w:themeColor="text1" w:themeTint="80"/>
                                <w:sz w:val="28"/>
                                <w:szCs w:val="36"/>
                                <w:lang w:val="en-CA"/>
                              </w:rPr>
                              <w:t>Dataset Creation Plan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298" y="0"/>
                          <a:ext cx="655093" cy="687689"/>
                        </a:xfrm>
                        <a:prstGeom prst="rect">
                          <a:avLst/>
                        </a:prstGeom>
                      </pic:spPr>
                    </pic:pic>
                  </wpg:wgp>
                </a:graphicData>
              </a:graphic>
              <wp14:sizeRelH relativeFrom="margin">
                <wp14:pctWidth>0</wp14:pctWidth>
              </wp14:sizeRelH>
            </wp:anchor>
          </w:drawing>
        </mc:Choice>
        <mc:Fallback>
          <w:pict>
            <v:group w14:anchorId="2C1A8D0B" id="Group 16" o:spid="_x0000_s1038" style="position:absolute;margin-left:4.65pt;margin-top:-1.35pt;width:493.25pt;height:54.15pt;z-index:251659264;mso-width-relative:margin" coordorigin="162" coordsize="59615,68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">
              <v:shapetype id="_x0000_t202" coordsize="21600,21600" o:spt="202" path="m,l,21600r21600,l21600,xe">
                <v:stroke joinstyle="miter"/>
                <v:path gradientshapeok="t" o:connecttype="rect"/>
              </v:shapetype>
              <v:shape id="Text Box 15" o:spid="_x0000_s1039" type="#_x0000_t202" style="position:absolute;left:34338;top:2715;width:25440;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TSwwAAANsAAAAPAAAAZHJzL2Rvd25yZXYueG1sRE9La8JA&#10;EL4X+h+WKfRWNwot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Of00sMAAADbAAAADwAA&#10;AAAAAAAAAAAAAAAHAgAAZHJzL2Rvd25yZXYueG1sUEsFBgAAAAADAAMAtwAAAPcCAAAAAA==&#10;" filled="f" stroked="f" strokeweight=".5pt">
                <v:textbox inset="0,0,0,0">
                  <w:txbxContent>
                    <w:p w14:paraId="2C1A8D0D" w14:textId="60831BE8" w:rsidR="008D0D0D" w:rsidRPr="004136BD" w:rsidRDefault="008D0D0D" w:rsidP="00CC5B64">
                      <w:pPr>
                        <w:pStyle w:val="Header"/>
                        <w:jc w:val="right"/>
                        <w:rPr>
                          <w:b/>
                          <w:noProof/>
                          <w:color w:val="7F7F7F" w:themeColor="text1" w:themeTint="80"/>
                          <w:sz w:val="24"/>
                          <w:szCs w:val="36"/>
                          <w:lang w:val="en-CA"/>
                        </w:rPr>
                      </w:pPr>
                      <w:r>
                        <w:rPr>
                          <w:b/>
                          <w:color w:val="7F7F7F" w:themeColor="text1" w:themeTint="80"/>
                          <w:sz w:val="28"/>
                          <w:szCs w:val="36"/>
                          <w:lang w:val="en-CA"/>
                        </w:rPr>
                        <w:t>Dataset Creation Plan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0" type="#_x0000_t75" style="position:absolute;left:162;width:6551;height:6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FBB"/>
    <w:multiLevelType w:val="hybridMultilevel"/>
    <w:tmpl w:val="86387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66DE9"/>
    <w:multiLevelType w:val="hybridMultilevel"/>
    <w:tmpl w:val="AB882E84"/>
    <w:lvl w:ilvl="0" w:tplc="F02C56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B6A45"/>
    <w:multiLevelType w:val="hybridMultilevel"/>
    <w:tmpl w:val="BD4223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2905A5"/>
    <w:multiLevelType w:val="hybridMultilevel"/>
    <w:tmpl w:val="979A7FA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43435"/>
    <w:multiLevelType w:val="multilevel"/>
    <w:tmpl w:val="417C8FC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pStyle w:val="ListBullet4"/>
      <w:lvlText w:val="­"/>
      <w:lvlJc w:val="left"/>
      <w:pPr>
        <w:ind w:left="1440" w:hanging="36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BB052F"/>
    <w:multiLevelType w:val="hybridMultilevel"/>
    <w:tmpl w:val="F21A5ABC"/>
    <w:lvl w:ilvl="0" w:tplc="55B0AF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409DF"/>
    <w:multiLevelType w:val="hybridMultilevel"/>
    <w:tmpl w:val="D66EEC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379EC"/>
    <w:multiLevelType w:val="hybridMultilevel"/>
    <w:tmpl w:val="5DE475A2"/>
    <w:lvl w:ilvl="0" w:tplc="F02C5670">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8A5F84"/>
    <w:multiLevelType w:val="hybridMultilevel"/>
    <w:tmpl w:val="5F8E245E"/>
    <w:lvl w:ilvl="0" w:tplc="55B0AF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35E12"/>
    <w:multiLevelType w:val="hybridMultilevel"/>
    <w:tmpl w:val="6BF410E0"/>
    <w:lvl w:ilvl="0" w:tplc="F02C5670">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D61F84"/>
    <w:multiLevelType w:val="hybridMultilevel"/>
    <w:tmpl w:val="8D08CCB2"/>
    <w:lvl w:ilvl="0" w:tplc="0C0A2346">
      <w:numFmt w:val="bullet"/>
      <w:pStyle w:val="ListBullet3"/>
      <w:lvlText w:val=""/>
      <w:lvlJc w:val="left"/>
      <w:pPr>
        <w:ind w:left="1080" w:hanging="360"/>
      </w:pPr>
      <w:rPr>
        <w:rFonts w:ascii="Wingdings" w:eastAsia="Calibri"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43D62939"/>
    <w:multiLevelType w:val="hybridMultilevel"/>
    <w:tmpl w:val="67E8A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EE1654"/>
    <w:multiLevelType w:val="hybridMultilevel"/>
    <w:tmpl w:val="8C9257F4"/>
    <w:lvl w:ilvl="0" w:tplc="BD26FF3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67810"/>
    <w:multiLevelType w:val="hybridMultilevel"/>
    <w:tmpl w:val="898A1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B2ABA"/>
    <w:multiLevelType w:val="hybridMultilevel"/>
    <w:tmpl w:val="A4E67CEA"/>
    <w:lvl w:ilvl="0" w:tplc="4434EF9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37E2B"/>
    <w:multiLevelType w:val="hybridMultilevel"/>
    <w:tmpl w:val="2146CD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BB4699"/>
    <w:multiLevelType w:val="hybridMultilevel"/>
    <w:tmpl w:val="5EF8BE66"/>
    <w:lvl w:ilvl="0" w:tplc="F02C5670">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E8065A"/>
    <w:multiLevelType w:val="hybridMultilevel"/>
    <w:tmpl w:val="931AE3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19489A"/>
    <w:multiLevelType w:val="hybridMultilevel"/>
    <w:tmpl w:val="F68617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E1B7193"/>
    <w:multiLevelType w:val="hybridMultilevel"/>
    <w:tmpl w:val="2554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0E62"/>
    <w:multiLevelType w:val="hybridMultilevel"/>
    <w:tmpl w:val="B93E00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092F55"/>
    <w:multiLevelType w:val="hybridMultilevel"/>
    <w:tmpl w:val="F9B64A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8B27A8"/>
    <w:multiLevelType w:val="hybridMultilevel"/>
    <w:tmpl w:val="260C05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28715B"/>
    <w:multiLevelType w:val="hybridMultilevel"/>
    <w:tmpl w:val="F66070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38C"/>
    <w:multiLevelType w:val="hybridMultilevel"/>
    <w:tmpl w:val="2554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4529F"/>
    <w:multiLevelType w:val="hybridMultilevel"/>
    <w:tmpl w:val="DA42D41E"/>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B8558D"/>
    <w:multiLevelType w:val="hybridMultilevel"/>
    <w:tmpl w:val="8590505E"/>
    <w:lvl w:ilvl="0" w:tplc="07580540">
      <w:start w:val="1"/>
      <w:numFmt w:val="bullet"/>
      <w:pStyle w:val="ListBullet2"/>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76973EF6"/>
    <w:multiLevelType w:val="hybridMultilevel"/>
    <w:tmpl w:val="D66EEC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F72CDB"/>
    <w:multiLevelType w:val="hybridMultilevel"/>
    <w:tmpl w:val="16E82752"/>
    <w:lvl w:ilvl="0" w:tplc="0409000D">
      <w:start w:val="1"/>
      <w:numFmt w:val="bullet"/>
      <w:lvlText w:val=""/>
      <w:lvlJc w:val="left"/>
      <w:pPr>
        <w:ind w:left="1048" w:hanging="360"/>
      </w:pPr>
      <w:rPr>
        <w:rFonts w:ascii="Wingdings" w:hAnsi="Wingdings" w:hint="default"/>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29" w15:restartNumberingAfterBreak="0">
    <w:nsid w:val="7F28695C"/>
    <w:multiLevelType w:val="hybridMultilevel"/>
    <w:tmpl w:val="9236CD88"/>
    <w:lvl w:ilvl="0" w:tplc="F02C5670">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0"/>
  </w:num>
  <w:num w:numId="3">
    <w:abstractNumId w:val="4"/>
  </w:num>
  <w:num w:numId="4">
    <w:abstractNumId w:val="11"/>
  </w:num>
  <w:num w:numId="5">
    <w:abstractNumId w:val="12"/>
  </w:num>
  <w:num w:numId="6">
    <w:abstractNumId w:val="29"/>
  </w:num>
  <w:num w:numId="7">
    <w:abstractNumId w:val="0"/>
  </w:num>
  <w:num w:numId="8">
    <w:abstractNumId w:val="13"/>
  </w:num>
  <w:num w:numId="9">
    <w:abstractNumId w:val="20"/>
  </w:num>
  <w:num w:numId="10">
    <w:abstractNumId w:val="16"/>
  </w:num>
  <w:num w:numId="11">
    <w:abstractNumId w:val="25"/>
  </w:num>
  <w:num w:numId="12">
    <w:abstractNumId w:val="27"/>
  </w:num>
  <w:num w:numId="13">
    <w:abstractNumId w:val="6"/>
  </w:num>
  <w:num w:numId="14">
    <w:abstractNumId w:val="24"/>
  </w:num>
  <w:num w:numId="15">
    <w:abstractNumId w:val="8"/>
  </w:num>
  <w:num w:numId="16">
    <w:abstractNumId w:val="5"/>
  </w:num>
  <w:num w:numId="17">
    <w:abstractNumId w:val="14"/>
  </w:num>
  <w:num w:numId="18">
    <w:abstractNumId w:val="17"/>
  </w:num>
  <w:num w:numId="19">
    <w:abstractNumId w:val="18"/>
  </w:num>
  <w:num w:numId="20">
    <w:abstractNumId w:val="19"/>
  </w:num>
  <w:num w:numId="21">
    <w:abstractNumId w:val="9"/>
  </w:num>
  <w:num w:numId="22">
    <w:abstractNumId w:val="22"/>
  </w:num>
  <w:num w:numId="23">
    <w:abstractNumId w:val="3"/>
  </w:num>
  <w:num w:numId="24">
    <w:abstractNumId w:val="28"/>
  </w:num>
  <w:num w:numId="25">
    <w:abstractNumId w:val="1"/>
  </w:num>
  <w:num w:numId="26">
    <w:abstractNumId w:val="7"/>
  </w:num>
  <w:num w:numId="27">
    <w:abstractNumId w:val="15"/>
  </w:num>
  <w:num w:numId="28">
    <w:abstractNumId w:val="2"/>
  </w:num>
  <w:num w:numId="29">
    <w:abstractNumId w:val="21"/>
  </w:num>
  <w:num w:numId="30">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87"/>
  <w:drawingGridVerticalSpacing w:val="187"/>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64"/>
    <w:rsid w:val="00000BF6"/>
    <w:rsid w:val="00000C1D"/>
    <w:rsid w:val="00001535"/>
    <w:rsid w:val="00001762"/>
    <w:rsid w:val="00002557"/>
    <w:rsid w:val="000029D4"/>
    <w:rsid w:val="00002D90"/>
    <w:rsid w:val="000044C7"/>
    <w:rsid w:val="000045EF"/>
    <w:rsid w:val="00004D82"/>
    <w:rsid w:val="00005322"/>
    <w:rsid w:val="0000584A"/>
    <w:rsid w:val="000061DB"/>
    <w:rsid w:val="00006D60"/>
    <w:rsid w:val="00007496"/>
    <w:rsid w:val="0000787B"/>
    <w:rsid w:val="00007B7F"/>
    <w:rsid w:val="00007C82"/>
    <w:rsid w:val="00010BBB"/>
    <w:rsid w:val="00010C38"/>
    <w:rsid w:val="00010E18"/>
    <w:rsid w:val="00012B77"/>
    <w:rsid w:val="00013FD2"/>
    <w:rsid w:val="0001576F"/>
    <w:rsid w:val="00015CCD"/>
    <w:rsid w:val="000162DA"/>
    <w:rsid w:val="00016D6E"/>
    <w:rsid w:val="00016E9F"/>
    <w:rsid w:val="000203B4"/>
    <w:rsid w:val="00020877"/>
    <w:rsid w:val="00021294"/>
    <w:rsid w:val="00024D60"/>
    <w:rsid w:val="000252FE"/>
    <w:rsid w:val="00025CBC"/>
    <w:rsid w:val="000260C6"/>
    <w:rsid w:val="000262D4"/>
    <w:rsid w:val="00026736"/>
    <w:rsid w:val="00026767"/>
    <w:rsid w:val="000267F3"/>
    <w:rsid w:val="00031AD0"/>
    <w:rsid w:val="00032267"/>
    <w:rsid w:val="000323DD"/>
    <w:rsid w:val="000341DB"/>
    <w:rsid w:val="0003420C"/>
    <w:rsid w:val="000346B8"/>
    <w:rsid w:val="0003476B"/>
    <w:rsid w:val="00035568"/>
    <w:rsid w:val="00036155"/>
    <w:rsid w:val="0003660A"/>
    <w:rsid w:val="00041788"/>
    <w:rsid w:val="00041A39"/>
    <w:rsid w:val="00041E4D"/>
    <w:rsid w:val="000422B3"/>
    <w:rsid w:val="000433ED"/>
    <w:rsid w:val="0004721E"/>
    <w:rsid w:val="00047D32"/>
    <w:rsid w:val="00050356"/>
    <w:rsid w:val="00050B85"/>
    <w:rsid w:val="00050BDD"/>
    <w:rsid w:val="00050EAB"/>
    <w:rsid w:val="00051A15"/>
    <w:rsid w:val="00054A0C"/>
    <w:rsid w:val="000553DD"/>
    <w:rsid w:val="00055A01"/>
    <w:rsid w:val="000567AA"/>
    <w:rsid w:val="00056FBE"/>
    <w:rsid w:val="00057564"/>
    <w:rsid w:val="000579D7"/>
    <w:rsid w:val="00057E70"/>
    <w:rsid w:val="00060B61"/>
    <w:rsid w:val="00062270"/>
    <w:rsid w:val="000628FD"/>
    <w:rsid w:val="00064FCD"/>
    <w:rsid w:val="000651D9"/>
    <w:rsid w:val="00066749"/>
    <w:rsid w:val="000712C8"/>
    <w:rsid w:val="0007157B"/>
    <w:rsid w:val="000738A5"/>
    <w:rsid w:val="00073AAD"/>
    <w:rsid w:val="00074357"/>
    <w:rsid w:val="00075EE0"/>
    <w:rsid w:val="000763B8"/>
    <w:rsid w:val="00076742"/>
    <w:rsid w:val="00076DFD"/>
    <w:rsid w:val="00076F9D"/>
    <w:rsid w:val="000811E9"/>
    <w:rsid w:val="00081CC0"/>
    <w:rsid w:val="00081CD8"/>
    <w:rsid w:val="000827D0"/>
    <w:rsid w:val="00083CB9"/>
    <w:rsid w:val="00084492"/>
    <w:rsid w:val="00084BE1"/>
    <w:rsid w:val="00085FB4"/>
    <w:rsid w:val="0008610C"/>
    <w:rsid w:val="00086DE4"/>
    <w:rsid w:val="00086EFF"/>
    <w:rsid w:val="00086F95"/>
    <w:rsid w:val="00087947"/>
    <w:rsid w:val="00087B34"/>
    <w:rsid w:val="00087BCD"/>
    <w:rsid w:val="000900A5"/>
    <w:rsid w:val="0009109A"/>
    <w:rsid w:val="0009313C"/>
    <w:rsid w:val="0009357D"/>
    <w:rsid w:val="00094063"/>
    <w:rsid w:val="000958B2"/>
    <w:rsid w:val="00095C24"/>
    <w:rsid w:val="00095EF0"/>
    <w:rsid w:val="0009670B"/>
    <w:rsid w:val="000A0653"/>
    <w:rsid w:val="000A07C6"/>
    <w:rsid w:val="000A10DB"/>
    <w:rsid w:val="000A13D6"/>
    <w:rsid w:val="000A1891"/>
    <w:rsid w:val="000A1A25"/>
    <w:rsid w:val="000A27E3"/>
    <w:rsid w:val="000A28FB"/>
    <w:rsid w:val="000A3459"/>
    <w:rsid w:val="000A359B"/>
    <w:rsid w:val="000A3742"/>
    <w:rsid w:val="000A50B4"/>
    <w:rsid w:val="000A558A"/>
    <w:rsid w:val="000A61C7"/>
    <w:rsid w:val="000A6C8E"/>
    <w:rsid w:val="000A7EDD"/>
    <w:rsid w:val="000B0E72"/>
    <w:rsid w:val="000B1A91"/>
    <w:rsid w:val="000B1C9D"/>
    <w:rsid w:val="000B2568"/>
    <w:rsid w:val="000B30B0"/>
    <w:rsid w:val="000B388B"/>
    <w:rsid w:val="000B3B18"/>
    <w:rsid w:val="000B3B34"/>
    <w:rsid w:val="000B478A"/>
    <w:rsid w:val="000B4CCA"/>
    <w:rsid w:val="000B4E5B"/>
    <w:rsid w:val="000B51C0"/>
    <w:rsid w:val="000B56CC"/>
    <w:rsid w:val="000B5943"/>
    <w:rsid w:val="000B7680"/>
    <w:rsid w:val="000C0897"/>
    <w:rsid w:val="000C265A"/>
    <w:rsid w:val="000C28DA"/>
    <w:rsid w:val="000C38A1"/>
    <w:rsid w:val="000C5F27"/>
    <w:rsid w:val="000C766E"/>
    <w:rsid w:val="000C7A67"/>
    <w:rsid w:val="000D0001"/>
    <w:rsid w:val="000D03C6"/>
    <w:rsid w:val="000D06ED"/>
    <w:rsid w:val="000D09C1"/>
    <w:rsid w:val="000D1AE1"/>
    <w:rsid w:val="000D312F"/>
    <w:rsid w:val="000D4D3D"/>
    <w:rsid w:val="000D54D1"/>
    <w:rsid w:val="000D5A5A"/>
    <w:rsid w:val="000D639C"/>
    <w:rsid w:val="000D6D33"/>
    <w:rsid w:val="000D738F"/>
    <w:rsid w:val="000D7874"/>
    <w:rsid w:val="000D79C0"/>
    <w:rsid w:val="000D7F8F"/>
    <w:rsid w:val="000E07CF"/>
    <w:rsid w:val="000E1595"/>
    <w:rsid w:val="000E1721"/>
    <w:rsid w:val="000E1F49"/>
    <w:rsid w:val="000E2162"/>
    <w:rsid w:val="000E2970"/>
    <w:rsid w:val="000E29CD"/>
    <w:rsid w:val="000E59FE"/>
    <w:rsid w:val="000E651F"/>
    <w:rsid w:val="000E7046"/>
    <w:rsid w:val="000E7684"/>
    <w:rsid w:val="000F0824"/>
    <w:rsid w:val="000F084B"/>
    <w:rsid w:val="000F0A74"/>
    <w:rsid w:val="000F0E4F"/>
    <w:rsid w:val="000F24AE"/>
    <w:rsid w:val="000F2D30"/>
    <w:rsid w:val="000F3C7E"/>
    <w:rsid w:val="000F41C3"/>
    <w:rsid w:val="000F50F3"/>
    <w:rsid w:val="000F5487"/>
    <w:rsid w:val="000F6A71"/>
    <w:rsid w:val="000F743E"/>
    <w:rsid w:val="000F76D1"/>
    <w:rsid w:val="000F7D1E"/>
    <w:rsid w:val="000F7EE6"/>
    <w:rsid w:val="00101A96"/>
    <w:rsid w:val="00101AF2"/>
    <w:rsid w:val="0010297A"/>
    <w:rsid w:val="00102BB2"/>
    <w:rsid w:val="00102BCB"/>
    <w:rsid w:val="00102FCE"/>
    <w:rsid w:val="0010430B"/>
    <w:rsid w:val="0010574F"/>
    <w:rsid w:val="001103AA"/>
    <w:rsid w:val="001108E2"/>
    <w:rsid w:val="00111ADE"/>
    <w:rsid w:val="0011288A"/>
    <w:rsid w:val="00112E54"/>
    <w:rsid w:val="00114AAA"/>
    <w:rsid w:val="00115FC7"/>
    <w:rsid w:val="00116139"/>
    <w:rsid w:val="0011680C"/>
    <w:rsid w:val="001171E9"/>
    <w:rsid w:val="00120858"/>
    <w:rsid w:val="00120EA9"/>
    <w:rsid w:val="00120F62"/>
    <w:rsid w:val="00121A16"/>
    <w:rsid w:val="0012236C"/>
    <w:rsid w:val="0012250C"/>
    <w:rsid w:val="001241B3"/>
    <w:rsid w:val="00124924"/>
    <w:rsid w:val="00125665"/>
    <w:rsid w:val="001257CA"/>
    <w:rsid w:val="00126F0E"/>
    <w:rsid w:val="00127F75"/>
    <w:rsid w:val="001308AF"/>
    <w:rsid w:val="00130F99"/>
    <w:rsid w:val="001311D2"/>
    <w:rsid w:val="00131B90"/>
    <w:rsid w:val="001321E9"/>
    <w:rsid w:val="00132BDB"/>
    <w:rsid w:val="00133D14"/>
    <w:rsid w:val="00134147"/>
    <w:rsid w:val="001350D9"/>
    <w:rsid w:val="00136B62"/>
    <w:rsid w:val="00137029"/>
    <w:rsid w:val="00141123"/>
    <w:rsid w:val="00141388"/>
    <w:rsid w:val="00141C68"/>
    <w:rsid w:val="00141D56"/>
    <w:rsid w:val="0014283B"/>
    <w:rsid w:val="00143272"/>
    <w:rsid w:val="001433F4"/>
    <w:rsid w:val="001445BC"/>
    <w:rsid w:val="00145701"/>
    <w:rsid w:val="0014660F"/>
    <w:rsid w:val="0015000F"/>
    <w:rsid w:val="00150051"/>
    <w:rsid w:val="001507BF"/>
    <w:rsid w:val="00150EEB"/>
    <w:rsid w:val="00151157"/>
    <w:rsid w:val="00151252"/>
    <w:rsid w:val="00152394"/>
    <w:rsid w:val="001525C4"/>
    <w:rsid w:val="00152B4F"/>
    <w:rsid w:val="00152DB6"/>
    <w:rsid w:val="00153715"/>
    <w:rsid w:val="00153883"/>
    <w:rsid w:val="00153D7F"/>
    <w:rsid w:val="001552C7"/>
    <w:rsid w:val="001556A3"/>
    <w:rsid w:val="00155DBB"/>
    <w:rsid w:val="001575C3"/>
    <w:rsid w:val="00160548"/>
    <w:rsid w:val="001607B1"/>
    <w:rsid w:val="001607DA"/>
    <w:rsid w:val="001625BF"/>
    <w:rsid w:val="001635EB"/>
    <w:rsid w:val="00163BE9"/>
    <w:rsid w:val="00163E62"/>
    <w:rsid w:val="00164970"/>
    <w:rsid w:val="00165128"/>
    <w:rsid w:val="0016579C"/>
    <w:rsid w:val="00165AC7"/>
    <w:rsid w:val="00165F34"/>
    <w:rsid w:val="00166497"/>
    <w:rsid w:val="00166C3D"/>
    <w:rsid w:val="001672A6"/>
    <w:rsid w:val="0016762A"/>
    <w:rsid w:val="001703DB"/>
    <w:rsid w:val="00170598"/>
    <w:rsid w:val="001718A3"/>
    <w:rsid w:val="00172998"/>
    <w:rsid w:val="00173696"/>
    <w:rsid w:val="00173AFA"/>
    <w:rsid w:val="00173DAE"/>
    <w:rsid w:val="0017406A"/>
    <w:rsid w:val="0017454E"/>
    <w:rsid w:val="0017530F"/>
    <w:rsid w:val="001762F3"/>
    <w:rsid w:val="00177355"/>
    <w:rsid w:val="00177566"/>
    <w:rsid w:val="00177BD6"/>
    <w:rsid w:val="00177D56"/>
    <w:rsid w:val="0018028E"/>
    <w:rsid w:val="00180BDA"/>
    <w:rsid w:val="001817D4"/>
    <w:rsid w:val="00181F04"/>
    <w:rsid w:val="001835B1"/>
    <w:rsid w:val="00183644"/>
    <w:rsid w:val="00183745"/>
    <w:rsid w:val="0018398B"/>
    <w:rsid w:val="00183CC1"/>
    <w:rsid w:val="001842B0"/>
    <w:rsid w:val="00184409"/>
    <w:rsid w:val="001866F8"/>
    <w:rsid w:val="00187C6E"/>
    <w:rsid w:val="001917FC"/>
    <w:rsid w:val="00191F92"/>
    <w:rsid w:val="00192D4D"/>
    <w:rsid w:val="001934BD"/>
    <w:rsid w:val="001953B7"/>
    <w:rsid w:val="00196537"/>
    <w:rsid w:val="00196583"/>
    <w:rsid w:val="0019778C"/>
    <w:rsid w:val="001977C7"/>
    <w:rsid w:val="001A0186"/>
    <w:rsid w:val="001A0188"/>
    <w:rsid w:val="001A1739"/>
    <w:rsid w:val="001A18FB"/>
    <w:rsid w:val="001A24AB"/>
    <w:rsid w:val="001A2BF2"/>
    <w:rsid w:val="001A30F1"/>
    <w:rsid w:val="001A35DF"/>
    <w:rsid w:val="001A39FC"/>
    <w:rsid w:val="001A40DE"/>
    <w:rsid w:val="001A4576"/>
    <w:rsid w:val="001A53D5"/>
    <w:rsid w:val="001A545C"/>
    <w:rsid w:val="001A7D6A"/>
    <w:rsid w:val="001B11F4"/>
    <w:rsid w:val="001B343D"/>
    <w:rsid w:val="001B3A5C"/>
    <w:rsid w:val="001B427D"/>
    <w:rsid w:val="001B596D"/>
    <w:rsid w:val="001B6801"/>
    <w:rsid w:val="001B6D8D"/>
    <w:rsid w:val="001B6EF9"/>
    <w:rsid w:val="001B79AD"/>
    <w:rsid w:val="001B7EF7"/>
    <w:rsid w:val="001C0326"/>
    <w:rsid w:val="001C1054"/>
    <w:rsid w:val="001C13FD"/>
    <w:rsid w:val="001C333A"/>
    <w:rsid w:val="001C4BA3"/>
    <w:rsid w:val="001C5B2B"/>
    <w:rsid w:val="001C6763"/>
    <w:rsid w:val="001C6F91"/>
    <w:rsid w:val="001D00BA"/>
    <w:rsid w:val="001D241A"/>
    <w:rsid w:val="001D340C"/>
    <w:rsid w:val="001D3A66"/>
    <w:rsid w:val="001D49C9"/>
    <w:rsid w:val="001D5829"/>
    <w:rsid w:val="001D5E1D"/>
    <w:rsid w:val="001D5F79"/>
    <w:rsid w:val="001D688E"/>
    <w:rsid w:val="001D698B"/>
    <w:rsid w:val="001D69C6"/>
    <w:rsid w:val="001D6DF9"/>
    <w:rsid w:val="001D72C8"/>
    <w:rsid w:val="001D7B26"/>
    <w:rsid w:val="001E1297"/>
    <w:rsid w:val="001E19D2"/>
    <w:rsid w:val="001E1B8F"/>
    <w:rsid w:val="001E2682"/>
    <w:rsid w:val="001E2E3D"/>
    <w:rsid w:val="001E2EBE"/>
    <w:rsid w:val="001E3CEC"/>
    <w:rsid w:val="001E452E"/>
    <w:rsid w:val="001E48E7"/>
    <w:rsid w:val="001E4AA1"/>
    <w:rsid w:val="001E61CB"/>
    <w:rsid w:val="001E6AB2"/>
    <w:rsid w:val="001E7BDF"/>
    <w:rsid w:val="001F04B5"/>
    <w:rsid w:val="001F16B3"/>
    <w:rsid w:val="001F1D41"/>
    <w:rsid w:val="001F2350"/>
    <w:rsid w:val="001F2A5D"/>
    <w:rsid w:val="001F38DE"/>
    <w:rsid w:val="001F3B0F"/>
    <w:rsid w:val="001F3D2B"/>
    <w:rsid w:val="001F49BC"/>
    <w:rsid w:val="001F6A60"/>
    <w:rsid w:val="001F73C1"/>
    <w:rsid w:val="0020056F"/>
    <w:rsid w:val="0020084B"/>
    <w:rsid w:val="00201079"/>
    <w:rsid w:val="002012CF"/>
    <w:rsid w:val="00202697"/>
    <w:rsid w:val="00202B45"/>
    <w:rsid w:val="00202FDF"/>
    <w:rsid w:val="002031F2"/>
    <w:rsid w:val="002054E0"/>
    <w:rsid w:val="002106FE"/>
    <w:rsid w:val="0021088A"/>
    <w:rsid w:val="00210922"/>
    <w:rsid w:val="00211724"/>
    <w:rsid w:val="0021172F"/>
    <w:rsid w:val="0021258D"/>
    <w:rsid w:val="00212FA3"/>
    <w:rsid w:val="00213421"/>
    <w:rsid w:val="0021442B"/>
    <w:rsid w:val="00215CB0"/>
    <w:rsid w:val="00215EF0"/>
    <w:rsid w:val="002161EE"/>
    <w:rsid w:val="0021657C"/>
    <w:rsid w:val="00220C3A"/>
    <w:rsid w:val="00221966"/>
    <w:rsid w:val="002219DD"/>
    <w:rsid w:val="00222046"/>
    <w:rsid w:val="002220AD"/>
    <w:rsid w:val="0022237C"/>
    <w:rsid w:val="002226AF"/>
    <w:rsid w:val="00222D07"/>
    <w:rsid w:val="00222D36"/>
    <w:rsid w:val="002239E4"/>
    <w:rsid w:val="00224EAB"/>
    <w:rsid w:val="00225A3A"/>
    <w:rsid w:val="00226C7C"/>
    <w:rsid w:val="00226EDA"/>
    <w:rsid w:val="00227492"/>
    <w:rsid w:val="0022792F"/>
    <w:rsid w:val="00230599"/>
    <w:rsid w:val="0023077D"/>
    <w:rsid w:val="0023180B"/>
    <w:rsid w:val="002326CE"/>
    <w:rsid w:val="00232CE8"/>
    <w:rsid w:val="0023306A"/>
    <w:rsid w:val="00233253"/>
    <w:rsid w:val="002333DB"/>
    <w:rsid w:val="00233565"/>
    <w:rsid w:val="00233C2E"/>
    <w:rsid w:val="00233E2D"/>
    <w:rsid w:val="00233EB1"/>
    <w:rsid w:val="00233F51"/>
    <w:rsid w:val="002343C8"/>
    <w:rsid w:val="002344BB"/>
    <w:rsid w:val="00234E94"/>
    <w:rsid w:val="00235A31"/>
    <w:rsid w:val="00236A65"/>
    <w:rsid w:val="00236E96"/>
    <w:rsid w:val="00237A88"/>
    <w:rsid w:val="00241698"/>
    <w:rsid w:val="00242035"/>
    <w:rsid w:val="002421CE"/>
    <w:rsid w:val="0024285A"/>
    <w:rsid w:val="00242CE6"/>
    <w:rsid w:val="00243EA4"/>
    <w:rsid w:val="00244531"/>
    <w:rsid w:val="00245787"/>
    <w:rsid w:val="002460AA"/>
    <w:rsid w:val="0024765C"/>
    <w:rsid w:val="00250DDA"/>
    <w:rsid w:val="002514D8"/>
    <w:rsid w:val="00254868"/>
    <w:rsid w:val="002555AA"/>
    <w:rsid w:val="002569E0"/>
    <w:rsid w:val="0025711C"/>
    <w:rsid w:val="00257299"/>
    <w:rsid w:val="0026039A"/>
    <w:rsid w:val="00260402"/>
    <w:rsid w:val="00261032"/>
    <w:rsid w:val="00261686"/>
    <w:rsid w:val="002619EF"/>
    <w:rsid w:val="00263642"/>
    <w:rsid w:val="00264A61"/>
    <w:rsid w:val="00264CC1"/>
    <w:rsid w:val="00265C99"/>
    <w:rsid w:val="002674AE"/>
    <w:rsid w:val="00267B0E"/>
    <w:rsid w:val="00267CDF"/>
    <w:rsid w:val="00270027"/>
    <w:rsid w:val="00270141"/>
    <w:rsid w:val="00270898"/>
    <w:rsid w:val="00272C26"/>
    <w:rsid w:val="00272F4A"/>
    <w:rsid w:val="00273DFD"/>
    <w:rsid w:val="00274C94"/>
    <w:rsid w:val="00274F2F"/>
    <w:rsid w:val="002753D0"/>
    <w:rsid w:val="00276240"/>
    <w:rsid w:val="002762C0"/>
    <w:rsid w:val="002769D5"/>
    <w:rsid w:val="00277830"/>
    <w:rsid w:val="00280729"/>
    <w:rsid w:val="00281375"/>
    <w:rsid w:val="00282DCA"/>
    <w:rsid w:val="00284F94"/>
    <w:rsid w:val="0028621C"/>
    <w:rsid w:val="0029231C"/>
    <w:rsid w:val="0029367B"/>
    <w:rsid w:val="00296513"/>
    <w:rsid w:val="00296734"/>
    <w:rsid w:val="002973B1"/>
    <w:rsid w:val="002977DC"/>
    <w:rsid w:val="002A048A"/>
    <w:rsid w:val="002A04AE"/>
    <w:rsid w:val="002A06AB"/>
    <w:rsid w:val="002A0740"/>
    <w:rsid w:val="002A0841"/>
    <w:rsid w:val="002A0868"/>
    <w:rsid w:val="002A0FC5"/>
    <w:rsid w:val="002A12DA"/>
    <w:rsid w:val="002A1509"/>
    <w:rsid w:val="002A15EF"/>
    <w:rsid w:val="002A18A0"/>
    <w:rsid w:val="002A1BD4"/>
    <w:rsid w:val="002A1F0B"/>
    <w:rsid w:val="002A20BE"/>
    <w:rsid w:val="002A303C"/>
    <w:rsid w:val="002A3791"/>
    <w:rsid w:val="002A39AA"/>
    <w:rsid w:val="002A3A48"/>
    <w:rsid w:val="002A3C40"/>
    <w:rsid w:val="002A3D6F"/>
    <w:rsid w:val="002A4089"/>
    <w:rsid w:val="002A43C9"/>
    <w:rsid w:val="002A5151"/>
    <w:rsid w:val="002A5AAE"/>
    <w:rsid w:val="002A5CF4"/>
    <w:rsid w:val="002A63FB"/>
    <w:rsid w:val="002A645C"/>
    <w:rsid w:val="002A68B2"/>
    <w:rsid w:val="002A68F9"/>
    <w:rsid w:val="002A6A41"/>
    <w:rsid w:val="002A6A62"/>
    <w:rsid w:val="002A6A94"/>
    <w:rsid w:val="002A7C28"/>
    <w:rsid w:val="002A7C83"/>
    <w:rsid w:val="002A7DB2"/>
    <w:rsid w:val="002B09C9"/>
    <w:rsid w:val="002B1EC1"/>
    <w:rsid w:val="002B22C1"/>
    <w:rsid w:val="002B23C0"/>
    <w:rsid w:val="002B381B"/>
    <w:rsid w:val="002B42F3"/>
    <w:rsid w:val="002B47D1"/>
    <w:rsid w:val="002B4FCB"/>
    <w:rsid w:val="002B5AA5"/>
    <w:rsid w:val="002B5F2E"/>
    <w:rsid w:val="002B6444"/>
    <w:rsid w:val="002B6957"/>
    <w:rsid w:val="002B6AE7"/>
    <w:rsid w:val="002B76A6"/>
    <w:rsid w:val="002B7A78"/>
    <w:rsid w:val="002B7E0D"/>
    <w:rsid w:val="002C05B5"/>
    <w:rsid w:val="002C0885"/>
    <w:rsid w:val="002C0DBF"/>
    <w:rsid w:val="002C237C"/>
    <w:rsid w:val="002C25BA"/>
    <w:rsid w:val="002C274C"/>
    <w:rsid w:val="002C5D44"/>
    <w:rsid w:val="002C6051"/>
    <w:rsid w:val="002C68B9"/>
    <w:rsid w:val="002C6C37"/>
    <w:rsid w:val="002C71D0"/>
    <w:rsid w:val="002C7DC3"/>
    <w:rsid w:val="002C7F8C"/>
    <w:rsid w:val="002D0ACC"/>
    <w:rsid w:val="002D0D21"/>
    <w:rsid w:val="002D1B60"/>
    <w:rsid w:val="002D204A"/>
    <w:rsid w:val="002D26DB"/>
    <w:rsid w:val="002D308E"/>
    <w:rsid w:val="002D32D7"/>
    <w:rsid w:val="002D5513"/>
    <w:rsid w:val="002D5C95"/>
    <w:rsid w:val="002D6614"/>
    <w:rsid w:val="002D6CBD"/>
    <w:rsid w:val="002D71D6"/>
    <w:rsid w:val="002E01D0"/>
    <w:rsid w:val="002E02EF"/>
    <w:rsid w:val="002E059E"/>
    <w:rsid w:val="002E0917"/>
    <w:rsid w:val="002E1AF7"/>
    <w:rsid w:val="002E4427"/>
    <w:rsid w:val="002E64EB"/>
    <w:rsid w:val="002E6704"/>
    <w:rsid w:val="002E678D"/>
    <w:rsid w:val="002E780F"/>
    <w:rsid w:val="002E7C79"/>
    <w:rsid w:val="002F0B05"/>
    <w:rsid w:val="002F3049"/>
    <w:rsid w:val="002F31F3"/>
    <w:rsid w:val="002F3D5F"/>
    <w:rsid w:val="002F436A"/>
    <w:rsid w:val="002F4BDF"/>
    <w:rsid w:val="002F6DB4"/>
    <w:rsid w:val="00301648"/>
    <w:rsid w:val="00301C36"/>
    <w:rsid w:val="00302B45"/>
    <w:rsid w:val="0030347A"/>
    <w:rsid w:val="003037FC"/>
    <w:rsid w:val="00304796"/>
    <w:rsid w:val="003049B4"/>
    <w:rsid w:val="0030565E"/>
    <w:rsid w:val="00305677"/>
    <w:rsid w:val="00305ACF"/>
    <w:rsid w:val="00305B47"/>
    <w:rsid w:val="00306922"/>
    <w:rsid w:val="00306BE7"/>
    <w:rsid w:val="00310057"/>
    <w:rsid w:val="00310F92"/>
    <w:rsid w:val="00311421"/>
    <w:rsid w:val="003127B5"/>
    <w:rsid w:val="003129B4"/>
    <w:rsid w:val="00313F2E"/>
    <w:rsid w:val="00314D52"/>
    <w:rsid w:val="00315275"/>
    <w:rsid w:val="003160E3"/>
    <w:rsid w:val="0032004B"/>
    <w:rsid w:val="00321F24"/>
    <w:rsid w:val="003229A4"/>
    <w:rsid w:val="003231A1"/>
    <w:rsid w:val="003233D8"/>
    <w:rsid w:val="00323B8D"/>
    <w:rsid w:val="003241DE"/>
    <w:rsid w:val="0032500A"/>
    <w:rsid w:val="00325047"/>
    <w:rsid w:val="00325730"/>
    <w:rsid w:val="003259E6"/>
    <w:rsid w:val="00326167"/>
    <w:rsid w:val="00326567"/>
    <w:rsid w:val="00326A9C"/>
    <w:rsid w:val="00326AA8"/>
    <w:rsid w:val="00327660"/>
    <w:rsid w:val="00327950"/>
    <w:rsid w:val="00327A2A"/>
    <w:rsid w:val="00331300"/>
    <w:rsid w:val="00331D2F"/>
    <w:rsid w:val="003325C7"/>
    <w:rsid w:val="00332A44"/>
    <w:rsid w:val="00332B5C"/>
    <w:rsid w:val="0033326B"/>
    <w:rsid w:val="00333C29"/>
    <w:rsid w:val="00334587"/>
    <w:rsid w:val="00334E6F"/>
    <w:rsid w:val="003366BB"/>
    <w:rsid w:val="00336E76"/>
    <w:rsid w:val="00336F8B"/>
    <w:rsid w:val="00337E03"/>
    <w:rsid w:val="00340DBF"/>
    <w:rsid w:val="00340F51"/>
    <w:rsid w:val="00341079"/>
    <w:rsid w:val="00341D9E"/>
    <w:rsid w:val="003424A0"/>
    <w:rsid w:val="00342E50"/>
    <w:rsid w:val="00342F10"/>
    <w:rsid w:val="003433F7"/>
    <w:rsid w:val="003435AE"/>
    <w:rsid w:val="00343B25"/>
    <w:rsid w:val="00345BF0"/>
    <w:rsid w:val="003464C4"/>
    <w:rsid w:val="003507B2"/>
    <w:rsid w:val="0035170F"/>
    <w:rsid w:val="003523A4"/>
    <w:rsid w:val="00352939"/>
    <w:rsid w:val="00352C2A"/>
    <w:rsid w:val="00352F85"/>
    <w:rsid w:val="00354282"/>
    <w:rsid w:val="00356281"/>
    <w:rsid w:val="00356751"/>
    <w:rsid w:val="00356F42"/>
    <w:rsid w:val="00357D5B"/>
    <w:rsid w:val="00360323"/>
    <w:rsid w:val="003616E1"/>
    <w:rsid w:val="00362D26"/>
    <w:rsid w:val="00363FE4"/>
    <w:rsid w:val="00364AF2"/>
    <w:rsid w:val="00365DEC"/>
    <w:rsid w:val="00366B87"/>
    <w:rsid w:val="00366EF3"/>
    <w:rsid w:val="003709C7"/>
    <w:rsid w:val="00370DBB"/>
    <w:rsid w:val="0037308D"/>
    <w:rsid w:val="00374133"/>
    <w:rsid w:val="003741A0"/>
    <w:rsid w:val="003742E3"/>
    <w:rsid w:val="00375342"/>
    <w:rsid w:val="00375D1D"/>
    <w:rsid w:val="00376FC7"/>
    <w:rsid w:val="003770CB"/>
    <w:rsid w:val="003771C7"/>
    <w:rsid w:val="003808EC"/>
    <w:rsid w:val="00381569"/>
    <w:rsid w:val="003820B1"/>
    <w:rsid w:val="003834EC"/>
    <w:rsid w:val="0038433F"/>
    <w:rsid w:val="00384610"/>
    <w:rsid w:val="0038479D"/>
    <w:rsid w:val="00386855"/>
    <w:rsid w:val="003869AD"/>
    <w:rsid w:val="00391715"/>
    <w:rsid w:val="0039179A"/>
    <w:rsid w:val="003927BA"/>
    <w:rsid w:val="00392FAE"/>
    <w:rsid w:val="003933A9"/>
    <w:rsid w:val="00393F7D"/>
    <w:rsid w:val="00394904"/>
    <w:rsid w:val="0039540A"/>
    <w:rsid w:val="003968D0"/>
    <w:rsid w:val="00396C96"/>
    <w:rsid w:val="00397152"/>
    <w:rsid w:val="0039778D"/>
    <w:rsid w:val="003977D4"/>
    <w:rsid w:val="003A0285"/>
    <w:rsid w:val="003A2A7A"/>
    <w:rsid w:val="003A2F39"/>
    <w:rsid w:val="003A31B1"/>
    <w:rsid w:val="003A3221"/>
    <w:rsid w:val="003A4252"/>
    <w:rsid w:val="003A4DA5"/>
    <w:rsid w:val="003A6240"/>
    <w:rsid w:val="003A6807"/>
    <w:rsid w:val="003A786D"/>
    <w:rsid w:val="003A797A"/>
    <w:rsid w:val="003B00F3"/>
    <w:rsid w:val="003B0111"/>
    <w:rsid w:val="003B0370"/>
    <w:rsid w:val="003B0D29"/>
    <w:rsid w:val="003B0D73"/>
    <w:rsid w:val="003B1014"/>
    <w:rsid w:val="003B1D13"/>
    <w:rsid w:val="003B1F64"/>
    <w:rsid w:val="003B2820"/>
    <w:rsid w:val="003B2EA5"/>
    <w:rsid w:val="003B4763"/>
    <w:rsid w:val="003B4839"/>
    <w:rsid w:val="003B48AB"/>
    <w:rsid w:val="003B5794"/>
    <w:rsid w:val="003B6033"/>
    <w:rsid w:val="003B628E"/>
    <w:rsid w:val="003B683A"/>
    <w:rsid w:val="003B69D4"/>
    <w:rsid w:val="003B7D59"/>
    <w:rsid w:val="003C0DA6"/>
    <w:rsid w:val="003C2E2C"/>
    <w:rsid w:val="003C33B1"/>
    <w:rsid w:val="003C4879"/>
    <w:rsid w:val="003C507B"/>
    <w:rsid w:val="003C69B3"/>
    <w:rsid w:val="003C730C"/>
    <w:rsid w:val="003D2358"/>
    <w:rsid w:val="003D2542"/>
    <w:rsid w:val="003D26A0"/>
    <w:rsid w:val="003D39F0"/>
    <w:rsid w:val="003D3C1D"/>
    <w:rsid w:val="003D424B"/>
    <w:rsid w:val="003D5D10"/>
    <w:rsid w:val="003D6E10"/>
    <w:rsid w:val="003D73F3"/>
    <w:rsid w:val="003D7403"/>
    <w:rsid w:val="003D748A"/>
    <w:rsid w:val="003D74FD"/>
    <w:rsid w:val="003E14E7"/>
    <w:rsid w:val="003E1C42"/>
    <w:rsid w:val="003E1CA9"/>
    <w:rsid w:val="003E2FFF"/>
    <w:rsid w:val="003E42BF"/>
    <w:rsid w:val="003E5254"/>
    <w:rsid w:val="003E7572"/>
    <w:rsid w:val="003E79C9"/>
    <w:rsid w:val="003E7F19"/>
    <w:rsid w:val="003F01D1"/>
    <w:rsid w:val="003F0CF7"/>
    <w:rsid w:val="003F0DB9"/>
    <w:rsid w:val="003F1280"/>
    <w:rsid w:val="003F16EC"/>
    <w:rsid w:val="003F28F2"/>
    <w:rsid w:val="003F2B10"/>
    <w:rsid w:val="003F3EDD"/>
    <w:rsid w:val="003F4843"/>
    <w:rsid w:val="003F4896"/>
    <w:rsid w:val="003F5078"/>
    <w:rsid w:val="003F57C3"/>
    <w:rsid w:val="003F5A48"/>
    <w:rsid w:val="003F5CBD"/>
    <w:rsid w:val="003F5EF1"/>
    <w:rsid w:val="003F62EF"/>
    <w:rsid w:val="003F79D2"/>
    <w:rsid w:val="00400944"/>
    <w:rsid w:val="00401D23"/>
    <w:rsid w:val="00401DB6"/>
    <w:rsid w:val="00402393"/>
    <w:rsid w:val="00402580"/>
    <w:rsid w:val="00402ED5"/>
    <w:rsid w:val="0040310F"/>
    <w:rsid w:val="00403889"/>
    <w:rsid w:val="00403D75"/>
    <w:rsid w:val="00404969"/>
    <w:rsid w:val="00406837"/>
    <w:rsid w:val="00406875"/>
    <w:rsid w:val="00406C9B"/>
    <w:rsid w:val="00407377"/>
    <w:rsid w:val="00407D2D"/>
    <w:rsid w:val="00407D48"/>
    <w:rsid w:val="00411ABC"/>
    <w:rsid w:val="00412C49"/>
    <w:rsid w:val="0041312F"/>
    <w:rsid w:val="00414106"/>
    <w:rsid w:val="00414A4C"/>
    <w:rsid w:val="00414CA2"/>
    <w:rsid w:val="00414D7F"/>
    <w:rsid w:val="0041556B"/>
    <w:rsid w:val="00416AE0"/>
    <w:rsid w:val="00416C5D"/>
    <w:rsid w:val="00416E7A"/>
    <w:rsid w:val="00416FE9"/>
    <w:rsid w:val="00417171"/>
    <w:rsid w:val="004173B9"/>
    <w:rsid w:val="00417AC5"/>
    <w:rsid w:val="004206E2"/>
    <w:rsid w:val="00420D64"/>
    <w:rsid w:val="00420DBB"/>
    <w:rsid w:val="004222F6"/>
    <w:rsid w:val="00422D53"/>
    <w:rsid w:val="004230CB"/>
    <w:rsid w:val="00424106"/>
    <w:rsid w:val="00424BE3"/>
    <w:rsid w:val="00424E99"/>
    <w:rsid w:val="00424F0E"/>
    <w:rsid w:val="00425724"/>
    <w:rsid w:val="0042585E"/>
    <w:rsid w:val="00425B7A"/>
    <w:rsid w:val="00426A0E"/>
    <w:rsid w:val="00427DA3"/>
    <w:rsid w:val="00427DE8"/>
    <w:rsid w:val="00430279"/>
    <w:rsid w:val="00430DC8"/>
    <w:rsid w:val="0043140A"/>
    <w:rsid w:val="004314FB"/>
    <w:rsid w:val="0043174A"/>
    <w:rsid w:val="00431A68"/>
    <w:rsid w:val="00433F99"/>
    <w:rsid w:val="004343C5"/>
    <w:rsid w:val="004346AB"/>
    <w:rsid w:val="00434DEB"/>
    <w:rsid w:val="004354B1"/>
    <w:rsid w:val="00435A58"/>
    <w:rsid w:val="00435BE2"/>
    <w:rsid w:val="00436DFB"/>
    <w:rsid w:val="00440122"/>
    <w:rsid w:val="00442446"/>
    <w:rsid w:val="004428D7"/>
    <w:rsid w:val="00442C46"/>
    <w:rsid w:val="0044319B"/>
    <w:rsid w:val="00443C97"/>
    <w:rsid w:val="004440C7"/>
    <w:rsid w:val="00444D0D"/>
    <w:rsid w:val="004460EF"/>
    <w:rsid w:val="00446810"/>
    <w:rsid w:val="00446AD2"/>
    <w:rsid w:val="00446C93"/>
    <w:rsid w:val="00447421"/>
    <w:rsid w:val="00447C15"/>
    <w:rsid w:val="00447E6F"/>
    <w:rsid w:val="00450082"/>
    <w:rsid w:val="00451B92"/>
    <w:rsid w:val="00452885"/>
    <w:rsid w:val="00452B5D"/>
    <w:rsid w:val="00453826"/>
    <w:rsid w:val="00453C6D"/>
    <w:rsid w:val="00453C70"/>
    <w:rsid w:val="0045423D"/>
    <w:rsid w:val="0045452F"/>
    <w:rsid w:val="00454F6F"/>
    <w:rsid w:val="0045552A"/>
    <w:rsid w:val="004600C8"/>
    <w:rsid w:val="00460266"/>
    <w:rsid w:val="00461521"/>
    <w:rsid w:val="004619F6"/>
    <w:rsid w:val="00461B16"/>
    <w:rsid w:val="00461D86"/>
    <w:rsid w:val="004626AC"/>
    <w:rsid w:val="00463727"/>
    <w:rsid w:val="00463A3A"/>
    <w:rsid w:val="00463F3B"/>
    <w:rsid w:val="00463F5C"/>
    <w:rsid w:val="00464477"/>
    <w:rsid w:val="004676A6"/>
    <w:rsid w:val="004701A1"/>
    <w:rsid w:val="00471760"/>
    <w:rsid w:val="00472EDA"/>
    <w:rsid w:val="0047402E"/>
    <w:rsid w:val="004750DC"/>
    <w:rsid w:val="00475533"/>
    <w:rsid w:val="00475627"/>
    <w:rsid w:val="0047572F"/>
    <w:rsid w:val="00475D83"/>
    <w:rsid w:val="004761EE"/>
    <w:rsid w:val="00476BEC"/>
    <w:rsid w:val="00477194"/>
    <w:rsid w:val="004776C5"/>
    <w:rsid w:val="0048008B"/>
    <w:rsid w:val="004804EE"/>
    <w:rsid w:val="00480E55"/>
    <w:rsid w:val="004837B0"/>
    <w:rsid w:val="00484089"/>
    <w:rsid w:val="004852D3"/>
    <w:rsid w:val="00486726"/>
    <w:rsid w:val="00486E38"/>
    <w:rsid w:val="00486E43"/>
    <w:rsid w:val="00487895"/>
    <w:rsid w:val="00487FD8"/>
    <w:rsid w:val="00490389"/>
    <w:rsid w:val="00491423"/>
    <w:rsid w:val="00491CCD"/>
    <w:rsid w:val="00492091"/>
    <w:rsid w:val="004923AB"/>
    <w:rsid w:val="00492EE5"/>
    <w:rsid w:val="004947A3"/>
    <w:rsid w:val="00494E2E"/>
    <w:rsid w:val="004963FB"/>
    <w:rsid w:val="0049646A"/>
    <w:rsid w:val="004A00B8"/>
    <w:rsid w:val="004A0E0F"/>
    <w:rsid w:val="004A197D"/>
    <w:rsid w:val="004A2F95"/>
    <w:rsid w:val="004A37AB"/>
    <w:rsid w:val="004A575B"/>
    <w:rsid w:val="004A5933"/>
    <w:rsid w:val="004A6628"/>
    <w:rsid w:val="004A6E17"/>
    <w:rsid w:val="004A729C"/>
    <w:rsid w:val="004A7385"/>
    <w:rsid w:val="004A74C5"/>
    <w:rsid w:val="004A7677"/>
    <w:rsid w:val="004A7A61"/>
    <w:rsid w:val="004B171E"/>
    <w:rsid w:val="004B1DCB"/>
    <w:rsid w:val="004B20E3"/>
    <w:rsid w:val="004B2788"/>
    <w:rsid w:val="004B2B7E"/>
    <w:rsid w:val="004B2D7A"/>
    <w:rsid w:val="004B3356"/>
    <w:rsid w:val="004B38DE"/>
    <w:rsid w:val="004B4D50"/>
    <w:rsid w:val="004B6617"/>
    <w:rsid w:val="004B6B1E"/>
    <w:rsid w:val="004B6FB3"/>
    <w:rsid w:val="004B7ACF"/>
    <w:rsid w:val="004C100B"/>
    <w:rsid w:val="004C15E4"/>
    <w:rsid w:val="004C1636"/>
    <w:rsid w:val="004C2987"/>
    <w:rsid w:val="004C29D0"/>
    <w:rsid w:val="004C333F"/>
    <w:rsid w:val="004C39B1"/>
    <w:rsid w:val="004C3FE3"/>
    <w:rsid w:val="004C469B"/>
    <w:rsid w:val="004C513E"/>
    <w:rsid w:val="004C5C39"/>
    <w:rsid w:val="004C5E3B"/>
    <w:rsid w:val="004C760D"/>
    <w:rsid w:val="004C77DD"/>
    <w:rsid w:val="004D0569"/>
    <w:rsid w:val="004D0685"/>
    <w:rsid w:val="004D0851"/>
    <w:rsid w:val="004D21FD"/>
    <w:rsid w:val="004D24D5"/>
    <w:rsid w:val="004D3096"/>
    <w:rsid w:val="004D55B3"/>
    <w:rsid w:val="004D6546"/>
    <w:rsid w:val="004D77F3"/>
    <w:rsid w:val="004D7AC6"/>
    <w:rsid w:val="004D7D49"/>
    <w:rsid w:val="004E1393"/>
    <w:rsid w:val="004E2441"/>
    <w:rsid w:val="004E3834"/>
    <w:rsid w:val="004E44B9"/>
    <w:rsid w:val="004E4624"/>
    <w:rsid w:val="004E5F87"/>
    <w:rsid w:val="004E64F9"/>
    <w:rsid w:val="004E6BC7"/>
    <w:rsid w:val="004E7CBF"/>
    <w:rsid w:val="004F0536"/>
    <w:rsid w:val="004F16BB"/>
    <w:rsid w:val="004F1F26"/>
    <w:rsid w:val="004F4246"/>
    <w:rsid w:val="004F4EA4"/>
    <w:rsid w:val="004F604C"/>
    <w:rsid w:val="004F61C6"/>
    <w:rsid w:val="004F66D7"/>
    <w:rsid w:val="004F6AD8"/>
    <w:rsid w:val="004F6CA6"/>
    <w:rsid w:val="004F76EB"/>
    <w:rsid w:val="004F7E3E"/>
    <w:rsid w:val="0050058F"/>
    <w:rsid w:val="00500BB8"/>
    <w:rsid w:val="00500D9F"/>
    <w:rsid w:val="00501423"/>
    <w:rsid w:val="00501663"/>
    <w:rsid w:val="00501A7D"/>
    <w:rsid w:val="00501AA0"/>
    <w:rsid w:val="005027CB"/>
    <w:rsid w:val="00502C34"/>
    <w:rsid w:val="00506267"/>
    <w:rsid w:val="0051011D"/>
    <w:rsid w:val="00511429"/>
    <w:rsid w:val="00511626"/>
    <w:rsid w:val="005123D7"/>
    <w:rsid w:val="00513B47"/>
    <w:rsid w:val="00514B42"/>
    <w:rsid w:val="00520292"/>
    <w:rsid w:val="0052102B"/>
    <w:rsid w:val="0052129B"/>
    <w:rsid w:val="0052149B"/>
    <w:rsid w:val="0052158D"/>
    <w:rsid w:val="0052171A"/>
    <w:rsid w:val="00521731"/>
    <w:rsid w:val="00521DC6"/>
    <w:rsid w:val="0052270E"/>
    <w:rsid w:val="00523CC6"/>
    <w:rsid w:val="005259F9"/>
    <w:rsid w:val="0052600A"/>
    <w:rsid w:val="0052616C"/>
    <w:rsid w:val="0052664C"/>
    <w:rsid w:val="005268CA"/>
    <w:rsid w:val="00526BB7"/>
    <w:rsid w:val="00526C5C"/>
    <w:rsid w:val="00527E72"/>
    <w:rsid w:val="005300B8"/>
    <w:rsid w:val="005301C6"/>
    <w:rsid w:val="005309B0"/>
    <w:rsid w:val="00530C14"/>
    <w:rsid w:val="00531650"/>
    <w:rsid w:val="00532284"/>
    <w:rsid w:val="0053240D"/>
    <w:rsid w:val="005327B3"/>
    <w:rsid w:val="00532F9D"/>
    <w:rsid w:val="005330BE"/>
    <w:rsid w:val="00533539"/>
    <w:rsid w:val="00533D8E"/>
    <w:rsid w:val="00534417"/>
    <w:rsid w:val="00534CEC"/>
    <w:rsid w:val="00535466"/>
    <w:rsid w:val="0053551F"/>
    <w:rsid w:val="00535544"/>
    <w:rsid w:val="00535648"/>
    <w:rsid w:val="00535B95"/>
    <w:rsid w:val="0053668E"/>
    <w:rsid w:val="0053722F"/>
    <w:rsid w:val="00537756"/>
    <w:rsid w:val="00540CEA"/>
    <w:rsid w:val="00541A41"/>
    <w:rsid w:val="00542D33"/>
    <w:rsid w:val="005430D1"/>
    <w:rsid w:val="005441B3"/>
    <w:rsid w:val="00544E10"/>
    <w:rsid w:val="00544EB1"/>
    <w:rsid w:val="00545023"/>
    <w:rsid w:val="005451BA"/>
    <w:rsid w:val="00545345"/>
    <w:rsid w:val="00545C08"/>
    <w:rsid w:val="00546556"/>
    <w:rsid w:val="00546D2A"/>
    <w:rsid w:val="00547301"/>
    <w:rsid w:val="00550465"/>
    <w:rsid w:val="00550BEB"/>
    <w:rsid w:val="00550C57"/>
    <w:rsid w:val="00551429"/>
    <w:rsid w:val="005514FD"/>
    <w:rsid w:val="00552788"/>
    <w:rsid w:val="00552C52"/>
    <w:rsid w:val="005537C8"/>
    <w:rsid w:val="00554FAE"/>
    <w:rsid w:val="005551AE"/>
    <w:rsid w:val="00555303"/>
    <w:rsid w:val="005568DD"/>
    <w:rsid w:val="005569E8"/>
    <w:rsid w:val="005600D1"/>
    <w:rsid w:val="00560995"/>
    <w:rsid w:val="00561EF4"/>
    <w:rsid w:val="00562F19"/>
    <w:rsid w:val="005630AE"/>
    <w:rsid w:val="00563ABD"/>
    <w:rsid w:val="00565290"/>
    <w:rsid w:val="00565333"/>
    <w:rsid w:val="005657FC"/>
    <w:rsid w:val="0056665A"/>
    <w:rsid w:val="0056749E"/>
    <w:rsid w:val="0057237F"/>
    <w:rsid w:val="00572ECD"/>
    <w:rsid w:val="0057324C"/>
    <w:rsid w:val="00573516"/>
    <w:rsid w:val="0057394C"/>
    <w:rsid w:val="00573DA2"/>
    <w:rsid w:val="005743D0"/>
    <w:rsid w:val="005755CA"/>
    <w:rsid w:val="0057575D"/>
    <w:rsid w:val="00575A36"/>
    <w:rsid w:val="005763BD"/>
    <w:rsid w:val="0058094B"/>
    <w:rsid w:val="0058395E"/>
    <w:rsid w:val="00584BFF"/>
    <w:rsid w:val="00585004"/>
    <w:rsid w:val="005852ED"/>
    <w:rsid w:val="005854D9"/>
    <w:rsid w:val="00585575"/>
    <w:rsid w:val="0058557D"/>
    <w:rsid w:val="00585B64"/>
    <w:rsid w:val="00585DF0"/>
    <w:rsid w:val="00592494"/>
    <w:rsid w:val="00592FED"/>
    <w:rsid w:val="0059316F"/>
    <w:rsid w:val="00593E3F"/>
    <w:rsid w:val="00594F8C"/>
    <w:rsid w:val="0059524C"/>
    <w:rsid w:val="00595DC3"/>
    <w:rsid w:val="00596DD3"/>
    <w:rsid w:val="0059710A"/>
    <w:rsid w:val="005976BA"/>
    <w:rsid w:val="00597AD0"/>
    <w:rsid w:val="005A0CB7"/>
    <w:rsid w:val="005A34AE"/>
    <w:rsid w:val="005A4B50"/>
    <w:rsid w:val="005A625E"/>
    <w:rsid w:val="005A7941"/>
    <w:rsid w:val="005B009E"/>
    <w:rsid w:val="005B0344"/>
    <w:rsid w:val="005B0914"/>
    <w:rsid w:val="005B0C97"/>
    <w:rsid w:val="005B11C2"/>
    <w:rsid w:val="005B156E"/>
    <w:rsid w:val="005B1A4B"/>
    <w:rsid w:val="005B3AA9"/>
    <w:rsid w:val="005B52CF"/>
    <w:rsid w:val="005B5F32"/>
    <w:rsid w:val="005B60B6"/>
    <w:rsid w:val="005B7AA4"/>
    <w:rsid w:val="005C1C36"/>
    <w:rsid w:val="005C254D"/>
    <w:rsid w:val="005C2971"/>
    <w:rsid w:val="005C31B7"/>
    <w:rsid w:val="005C33FD"/>
    <w:rsid w:val="005C4121"/>
    <w:rsid w:val="005C46BD"/>
    <w:rsid w:val="005C489B"/>
    <w:rsid w:val="005C4C9F"/>
    <w:rsid w:val="005C50E8"/>
    <w:rsid w:val="005C534B"/>
    <w:rsid w:val="005C53AD"/>
    <w:rsid w:val="005C56D9"/>
    <w:rsid w:val="005C56EA"/>
    <w:rsid w:val="005C5803"/>
    <w:rsid w:val="005C6915"/>
    <w:rsid w:val="005C72AE"/>
    <w:rsid w:val="005C738A"/>
    <w:rsid w:val="005C760A"/>
    <w:rsid w:val="005C7E04"/>
    <w:rsid w:val="005D06A6"/>
    <w:rsid w:val="005D1A92"/>
    <w:rsid w:val="005D1AAA"/>
    <w:rsid w:val="005D20F3"/>
    <w:rsid w:val="005D280D"/>
    <w:rsid w:val="005D41A5"/>
    <w:rsid w:val="005D49C0"/>
    <w:rsid w:val="005D5B96"/>
    <w:rsid w:val="005D5F7A"/>
    <w:rsid w:val="005D5F98"/>
    <w:rsid w:val="005D69D4"/>
    <w:rsid w:val="005D7B0C"/>
    <w:rsid w:val="005D7CCA"/>
    <w:rsid w:val="005D7E2E"/>
    <w:rsid w:val="005E0ECF"/>
    <w:rsid w:val="005E1394"/>
    <w:rsid w:val="005E2EAB"/>
    <w:rsid w:val="005E37FC"/>
    <w:rsid w:val="005E706A"/>
    <w:rsid w:val="005E730B"/>
    <w:rsid w:val="005E761B"/>
    <w:rsid w:val="005E7A5B"/>
    <w:rsid w:val="005F0273"/>
    <w:rsid w:val="005F052E"/>
    <w:rsid w:val="005F2638"/>
    <w:rsid w:val="005F3CE1"/>
    <w:rsid w:val="005F404C"/>
    <w:rsid w:val="005F554C"/>
    <w:rsid w:val="005F56ED"/>
    <w:rsid w:val="005F59C0"/>
    <w:rsid w:val="005F5B54"/>
    <w:rsid w:val="005F5ED3"/>
    <w:rsid w:val="005F624B"/>
    <w:rsid w:val="005F708F"/>
    <w:rsid w:val="005F75EC"/>
    <w:rsid w:val="00601C2F"/>
    <w:rsid w:val="00603A80"/>
    <w:rsid w:val="0060416D"/>
    <w:rsid w:val="00605430"/>
    <w:rsid w:val="00607795"/>
    <w:rsid w:val="00607E69"/>
    <w:rsid w:val="0061091C"/>
    <w:rsid w:val="00612ED8"/>
    <w:rsid w:val="006131DF"/>
    <w:rsid w:val="006135B1"/>
    <w:rsid w:val="00614DF1"/>
    <w:rsid w:val="00615055"/>
    <w:rsid w:val="00615EA8"/>
    <w:rsid w:val="00616908"/>
    <w:rsid w:val="00616CB1"/>
    <w:rsid w:val="00617DB7"/>
    <w:rsid w:val="00617F52"/>
    <w:rsid w:val="00620544"/>
    <w:rsid w:val="006214F4"/>
    <w:rsid w:val="00623A7E"/>
    <w:rsid w:val="0062580A"/>
    <w:rsid w:val="006259FC"/>
    <w:rsid w:val="00626A44"/>
    <w:rsid w:val="0063077E"/>
    <w:rsid w:val="00631DF0"/>
    <w:rsid w:val="006326AF"/>
    <w:rsid w:val="00632DD3"/>
    <w:rsid w:val="006330D5"/>
    <w:rsid w:val="00634C24"/>
    <w:rsid w:val="00634D9D"/>
    <w:rsid w:val="00634FAA"/>
    <w:rsid w:val="00635BE6"/>
    <w:rsid w:val="00635CC4"/>
    <w:rsid w:val="00640789"/>
    <w:rsid w:val="00640E23"/>
    <w:rsid w:val="00641B80"/>
    <w:rsid w:val="00642B2D"/>
    <w:rsid w:val="006432C6"/>
    <w:rsid w:val="00643844"/>
    <w:rsid w:val="00643D20"/>
    <w:rsid w:val="0064411F"/>
    <w:rsid w:val="00644BF8"/>
    <w:rsid w:val="006467EB"/>
    <w:rsid w:val="0065150D"/>
    <w:rsid w:val="0065190F"/>
    <w:rsid w:val="006519C9"/>
    <w:rsid w:val="00651D2B"/>
    <w:rsid w:val="00654FBC"/>
    <w:rsid w:val="006552CA"/>
    <w:rsid w:val="0065551C"/>
    <w:rsid w:val="006559BD"/>
    <w:rsid w:val="00656915"/>
    <w:rsid w:val="00660059"/>
    <w:rsid w:val="00660080"/>
    <w:rsid w:val="006619F0"/>
    <w:rsid w:val="006628C2"/>
    <w:rsid w:val="00662A16"/>
    <w:rsid w:val="006640CC"/>
    <w:rsid w:val="00664357"/>
    <w:rsid w:val="0066447E"/>
    <w:rsid w:val="006657B2"/>
    <w:rsid w:val="006659A3"/>
    <w:rsid w:val="0066603C"/>
    <w:rsid w:val="00666215"/>
    <w:rsid w:val="00666708"/>
    <w:rsid w:val="00666D69"/>
    <w:rsid w:val="00670146"/>
    <w:rsid w:val="00671141"/>
    <w:rsid w:val="00671D5F"/>
    <w:rsid w:val="0067228D"/>
    <w:rsid w:val="006724D3"/>
    <w:rsid w:val="006729D2"/>
    <w:rsid w:val="006730C5"/>
    <w:rsid w:val="006754D3"/>
    <w:rsid w:val="00675988"/>
    <w:rsid w:val="00675E6E"/>
    <w:rsid w:val="00676A5B"/>
    <w:rsid w:val="00677028"/>
    <w:rsid w:val="0068067E"/>
    <w:rsid w:val="00680D79"/>
    <w:rsid w:val="0068191C"/>
    <w:rsid w:val="00682844"/>
    <w:rsid w:val="00684546"/>
    <w:rsid w:val="00684899"/>
    <w:rsid w:val="00684BF7"/>
    <w:rsid w:val="00685B4E"/>
    <w:rsid w:val="00686D4D"/>
    <w:rsid w:val="00686F4F"/>
    <w:rsid w:val="00687DEC"/>
    <w:rsid w:val="006919DE"/>
    <w:rsid w:val="00691CD6"/>
    <w:rsid w:val="00692127"/>
    <w:rsid w:val="0069214D"/>
    <w:rsid w:val="0069250B"/>
    <w:rsid w:val="00692715"/>
    <w:rsid w:val="006933B1"/>
    <w:rsid w:val="006934D3"/>
    <w:rsid w:val="00693B40"/>
    <w:rsid w:val="0069538A"/>
    <w:rsid w:val="00695A85"/>
    <w:rsid w:val="00696E6F"/>
    <w:rsid w:val="006976B7"/>
    <w:rsid w:val="00697F12"/>
    <w:rsid w:val="006A01EF"/>
    <w:rsid w:val="006A05E0"/>
    <w:rsid w:val="006A1B3A"/>
    <w:rsid w:val="006A23DE"/>
    <w:rsid w:val="006A2A87"/>
    <w:rsid w:val="006A37A7"/>
    <w:rsid w:val="006A3AFC"/>
    <w:rsid w:val="006A58C6"/>
    <w:rsid w:val="006A714C"/>
    <w:rsid w:val="006A7851"/>
    <w:rsid w:val="006B1281"/>
    <w:rsid w:val="006B14AA"/>
    <w:rsid w:val="006B150E"/>
    <w:rsid w:val="006B1641"/>
    <w:rsid w:val="006B1D51"/>
    <w:rsid w:val="006B20FB"/>
    <w:rsid w:val="006B22CE"/>
    <w:rsid w:val="006B38FB"/>
    <w:rsid w:val="006B4A1E"/>
    <w:rsid w:val="006B5142"/>
    <w:rsid w:val="006B6657"/>
    <w:rsid w:val="006B6D66"/>
    <w:rsid w:val="006B741F"/>
    <w:rsid w:val="006B7E4F"/>
    <w:rsid w:val="006C02CA"/>
    <w:rsid w:val="006C0354"/>
    <w:rsid w:val="006C0A50"/>
    <w:rsid w:val="006C19A7"/>
    <w:rsid w:val="006C2DFA"/>
    <w:rsid w:val="006C3D12"/>
    <w:rsid w:val="006C400C"/>
    <w:rsid w:val="006C4F1E"/>
    <w:rsid w:val="006C5E0B"/>
    <w:rsid w:val="006C623D"/>
    <w:rsid w:val="006C66B4"/>
    <w:rsid w:val="006C6CDF"/>
    <w:rsid w:val="006C6E85"/>
    <w:rsid w:val="006D0988"/>
    <w:rsid w:val="006D1225"/>
    <w:rsid w:val="006D1500"/>
    <w:rsid w:val="006D3A35"/>
    <w:rsid w:val="006D5472"/>
    <w:rsid w:val="006D5C26"/>
    <w:rsid w:val="006D7D88"/>
    <w:rsid w:val="006E0C10"/>
    <w:rsid w:val="006E148C"/>
    <w:rsid w:val="006E15DA"/>
    <w:rsid w:val="006E263D"/>
    <w:rsid w:val="006E3B57"/>
    <w:rsid w:val="006E75D5"/>
    <w:rsid w:val="006E7A44"/>
    <w:rsid w:val="006E7F65"/>
    <w:rsid w:val="006F05FD"/>
    <w:rsid w:val="006F0AC3"/>
    <w:rsid w:val="006F0F1C"/>
    <w:rsid w:val="006F229C"/>
    <w:rsid w:val="006F2A35"/>
    <w:rsid w:val="006F2A37"/>
    <w:rsid w:val="006F44F4"/>
    <w:rsid w:val="006F48FB"/>
    <w:rsid w:val="006F4FA4"/>
    <w:rsid w:val="006F51EF"/>
    <w:rsid w:val="006F57F2"/>
    <w:rsid w:val="006F66A8"/>
    <w:rsid w:val="006F71F5"/>
    <w:rsid w:val="006F7235"/>
    <w:rsid w:val="006F7CCD"/>
    <w:rsid w:val="00700135"/>
    <w:rsid w:val="0070113F"/>
    <w:rsid w:val="007015B0"/>
    <w:rsid w:val="0070177F"/>
    <w:rsid w:val="00701F43"/>
    <w:rsid w:val="007033C8"/>
    <w:rsid w:val="007041F0"/>
    <w:rsid w:val="0071032D"/>
    <w:rsid w:val="00710B95"/>
    <w:rsid w:val="00710FDA"/>
    <w:rsid w:val="00711A96"/>
    <w:rsid w:val="00712079"/>
    <w:rsid w:val="007120FA"/>
    <w:rsid w:val="00712980"/>
    <w:rsid w:val="0071306A"/>
    <w:rsid w:val="00713958"/>
    <w:rsid w:val="007147D6"/>
    <w:rsid w:val="007159A3"/>
    <w:rsid w:val="00715BD9"/>
    <w:rsid w:val="007173AD"/>
    <w:rsid w:val="00717F1C"/>
    <w:rsid w:val="00720222"/>
    <w:rsid w:val="007206CD"/>
    <w:rsid w:val="00720DEA"/>
    <w:rsid w:val="00720E61"/>
    <w:rsid w:val="007233D5"/>
    <w:rsid w:val="00723519"/>
    <w:rsid w:val="00723ACF"/>
    <w:rsid w:val="00723D40"/>
    <w:rsid w:val="0072475C"/>
    <w:rsid w:val="007247BC"/>
    <w:rsid w:val="00724B36"/>
    <w:rsid w:val="00724DD1"/>
    <w:rsid w:val="00725043"/>
    <w:rsid w:val="0072550E"/>
    <w:rsid w:val="00725570"/>
    <w:rsid w:val="00725571"/>
    <w:rsid w:val="00725722"/>
    <w:rsid w:val="00726A5F"/>
    <w:rsid w:val="00727712"/>
    <w:rsid w:val="00727C0B"/>
    <w:rsid w:val="00730C2C"/>
    <w:rsid w:val="007322C2"/>
    <w:rsid w:val="00734F61"/>
    <w:rsid w:val="00735084"/>
    <w:rsid w:val="00735144"/>
    <w:rsid w:val="007368E9"/>
    <w:rsid w:val="00736C8A"/>
    <w:rsid w:val="00740CCF"/>
    <w:rsid w:val="007415D5"/>
    <w:rsid w:val="007416A2"/>
    <w:rsid w:val="00741863"/>
    <w:rsid w:val="0074348C"/>
    <w:rsid w:val="00744074"/>
    <w:rsid w:val="007442C3"/>
    <w:rsid w:val="007444BA"/>
    <w:rsid w:val="0074477C"/>
    <w:rsid w:val="00744AC7"/>
    <w:rsid w:val="00745BE6"/>
    <w:rsid w:val="00745D26"/>
    <w:rsid w:val="00746157"/>
    <w:rsid w:val="00747CC8"/>
    <w:rsid w:val="00747E95"/>
    <w:rsid w:val="00750B5C"/>
    <w:rsid w:val="007519E9"/>
    <w:rsid w:val="00751EED"/>
    <w:rsid w:val="00752F6A"/>
    <w:rsid w:val="0075356A"/>
    <w:rsid w:val="00753840"/>
    <w:rsid w:val="00754299"/>
    <w:rsid w:val="007544A3"/>
    <w:rsid w:val="00754833"/>
    <w:rsid w:val="00754B53"/>
    <w:rsid w:val="00756281"/>
    <w:rsid w:val="00756D31"/>
    <w:rsid w:val="00757ED1"/>
    <w:rsid w:val="00761999"/>
    <w:rsid w:val="007624FF"/>
    <w:rsid w:val="00762EB4"/>
    <w:rsid w:val="00763541"/>
    <w:rsid w:val="007636BD"/>
    <w:rsid w:val="00764085"/>
    <w:rsid w:val="007647FD"/>
    <w:rsid w:val="00765A81"/>
    <w:rsid w:val="00765ED9"/>
    <w:rsid w:val="00770BB9"/>
    <w:rsid w:val="00773035"/>
    <w:rsid w:val="00774124"/>
    <w:rsid w:val="00774977"/>
    <w:rsid w:val="007750AA"/>
    <w:rsid w:val="00776722"/>
    <w:rsid w:val="007769E7"/>
    <w:rsid w:val="0077740F"/>
    <w:rsid w:val="00777861"/>
    <w:rsid w:val="007810EE"/>
    <w:rsid w:val="007819D2"/>
    <w:rsid w:val="007819F6"/>
    <w:rsid w:val="00781A0C"/>
    <w:rsid w:val="00782609"/>
    <w:rsid w:val="00782F58"/>
    <w:rsid w:val="00783D0C"/>
    <w:rsid w:val="00784035"/>
    <w:rsid w:val="007851FE"/>
    <w:rsid w:val="00785E12"/>
    <w:rsid w:val="00786784"/>
    <w:rsid w:val="007872AB"/>
    <w:rsid w:val="00787B27"/>
    <w:rsid w:val="00787F0A"/>
    <w:rsid w:val="007907EA"/>
    <w:rsid w:val="00790831"/>
    <w:rsid w:val="00790ACD"/>
    <w:rsid w:val="00790BF0"/>
    <w:rsid w:val="007911C5"/>
    <w:rsid w:val="0079120E"/>
    <w:rsid w:val="00791873"/>
    <w:rsid w:val="00792367"/>
    <w:rsid w:val="00792456"/>
    <w:rsid w:val="00793247"/>
    <w:rsid w:val="0079375B"/>
    <w:rsid w:val="00793E60"/>
    <w:rsid w:val="0079402C"/>
    <w:rsid w:val="007943C0"/>
    <w:rsid w:val="0079497A"/>
    <w:rsid w:val="007950E3"/>
    <w:rsid w:val="0079525F"/>
    <w:rsid w:val="00795A04"/>
    <w:rsid w:val="00796721"/>
    <w:rsid w:val="0079764E"/>
    <w:rsid w:val="00797CA4"/>
    <w:rsid w:val="007A19B5"/>
    <w:rsid w:val="007A2323"/>
    <w:rsid w:val="007A2CBE"/>
    <w:rsid w:val="007A3A37"/>
    <w:rsid w:val="007A3F2B"/>
    <w:rsid w:val="007A4B57"/>
    <w:rsid w:val="007A500A"/>
    <w:rsid w:val="007A62FC"/>
    <w:rsid w:val="007A6546"/>
    <w:rsid w:val="007A6AC3"/>
    <w:rsid w:val="007A6DF3"/>
    <w:rsid w:val="007A72D5"/>
    <w:rsid w:val="007B1474"/>
    <w:rsid w:val="007B1740"/>
    <w:rsid w:val="007B17F1"/>
    <w:rsid w:val="007B1F97"/>
    <w:rsid w:val="007B21E8"/>
    <w:rsid w:val="007B270B"/>
    <w:rsid w:val="007B2763"/>
    <w:rsid w:val="007B4B0A"/>
    <w:rsid w:val="007B5638"/>
    <w:rsid w:val="007B59F2"/>
    <w:rsid w:val="007B5ACD"/>
    <w:rsid w:val="007B61C2"/>
    <w:rsid w:val="007B6451"/>
    <w:rsid w:val="007B6F8C"/>
    <w:rsid w:val="007B7B00"/>
    <w:rsid w:val="007C0B70"/>
    <w:rsid w:val="007C0DAA"/>
    <w:rsid w:val="007C0E77"/>
    <w:rsid w:val="007C0FFC"/>
    <w:rsid w:val="007C148C"/>
    <w:rsid w:val="007C222A"/>
    <w:rsid w:val="007C23B0"/>
    <w:rsid w:val="007C2CC2"/>
    <w:rsid w:val="007C3255"/>
    <w:rsid w:val="007C353A"/>
    <w:rsid w:val="007C405C"/>
    <w:rsid w:val="007C57C2"/>
    <w:rsid w:val="007C5C24"/>
    <w:rsid w:val="007D21EC"/>
    <w:rsid w:val="007D2B37"/>
    <w:rsid w:val="007D31AF"/>
    <w:rsid w:val="007D361F"/>
    <w:rsid w:val="007D3A0D"/>
    <w:rsid w:val="007D3A7F"/>
    <w:rsid w:val="007D3E67"/>
    <w:rsid w:val="007D4D88"/>
    <w:rsid w:val="007D5CC8"/>
    <w:rsid w:val="007D636F"/>
    <w:rsid w:val="007E00D5"/>
    <w:rsid w:val="007E03E0"/>
    <w:rsid w:val="007E0D07"/>
    <w:rsid w:val="007E1275"/>
    <w:rsid w:val="007E1A77"/>
    <w:rsid w:val="007E1AEC"/>
    <w:rsid w:val="007E2294"/>
    <w:rsid w:val="007E25B8"/>
    <w:rsid w:val="007E39BF"/>
    <w:rsid w:val="007E4568"/>
    <w:rsid w:val="007E45DD"/>
    <w:rsid w:val="007E47B2"/>
    <w:rsid w:val="007E6F07"/>
    <w:rsid w:val="007F134F"/>
    <w:rsid w:val="007F29F3"/>
    <w:rsid w:val="007F2D75"/>
    <w:rsid w:val="007F37C0"/>
    <w:rsid w:val="007F3B83"/>
    <w:rsid w:val="007F3C9B"/>
    <w:rsid w:val="007F3E4C"/>
    <w:rsid w:val="007F43BC"/>
    <w:rsid w:val="007F64A1"/>
    <w:rsid w:val="007F748E"/>
    <w:rsid w:val="007F773D"/>
    <w:rsid w:val="00800E80"/>
    <w:rsid w:val="00801DF7"/>
    <w:rsid w:val="00803232"/>
    <w:rsid w:val="00803B91"/>
    <w:rsid w:val="00803D3E"/>
    <w:rsid w:val="00804A33"/>
    <w:rsid w:val="00804BF0"/>
    <w:rsid w:val="00804DDB"/>
    <w:rsid w:val="00804EBB"/>
    <w:rsid w:val="00805035"/>
    <w:rsid w:val="008050FB"/>
    <w:rsid w:val="00806858"/>
    <w:rsid w:val="0080692C"/>
    <w:rsid w:val="008069F3"/>
    <w:rsid w:val="00806AFD"/>
    <w:rsid w:val="008106F7"/>
    <w:rsid w:val="00810792"/>
    <w:rsid w:val="00810FEE"/>
    <w:rsid w:val="00811EA6"/>
    <w:rsid w:val="008120A1"/>
    <w:rsid w:val="0081228F"/>
    <w:rsid w:val="00813467"/>
    <w:rsid w:val="0081395C"/>
    <w:rsid w:val="00813E65"/>
    <w:rsid w:val="0081412E"/>
    <w:rsid w:val="00815261"/>
    <w:rsid w:val="00816D7F"/>
    <w:rsid w:val="00817670"/>
    <w:rsid w:val="00817757"/>
    <w:rsid w:val="00817DCE"/>
    <w:rsid w:val="0082058E"/>
    <w:rsid w:val="0082163C"/>
    <w:rsid w:val="00821867"/>
    <w:rsid w:val="00821FA8"/>
    <w:rsid w:val="00822BA1"/>
    <w:rsid w:val="00823479"/>
    <w:rsid w:val="00823DDA"/>
    <w:rsid w:val="00824804"/>
    <w:rsid w:val="00824992"/>
    <w:rsid w:val="008303B0"/>
    <w:rsid w:val="008305C5"/>
    <w:rsid w:val="0083096B"/>
    <w:rsid w:val="008314DB"/>
    <w:rsid w:val="008315B7"/>
    <w:rsid w:val="008328E3"/>
    <w:rsid w:val="0083349F"/>
    <w:rsid w:val="008337E1"/>
    <w:rsid w:val="00833D3D"/>
    <w:rsid w:val="0083419E"/>
    <w:rsid w:val="0083481F"/>
    <w:rsid w:val="0083495A"/>
    <w:rsid w:val="008355D0"/>
    <w:rsid w:val="00835C95"/>
    <w:rsid w:val="008361DF"/>
    <w:rsid w:val="00840267"/>
    <w:rsid w:val="0084114D"/>
    <w:rsid w:val="0084314E"/>
    <w:rsid w:val="0084394E"/>
    <w:rsid w:val="00844261"/>
    <w:rsid w:val="008442F1"/>
    <w:rsid w:val="00844A22"/>
    <w:rsid w:val="008454C2"/>
    <w:rsid w:val="008457F8"/>
    <w:rsid w:val="00846CE9"/>
    <w:rsid w:val="0084704A"/>
    <w:rsid w:val="0084765F"/>
    <w:rsid w:val="00847A7D"/>
    <w:rsid w:val="00850500"/>
    <w:rsid w:val="008505A3"/>
    <w:rsid w:val="008520A0"/>
    <w:rsid w:val="00853319"/>
    <w:rsid w:val="00853CD3"/>
    <w:rsid w:val="00854D27"/>
    <w:rsid w:val="008557DD"/>
    <w:rsid w:val="008560C4"/>
    <w:rsid w:val="0085711F"/>
    <w:rsid w:val="00857367"/>
    <w:rsid w:val="00861926"/>
    <w:rsid w:val="00861A26"/>
    <w:rsid w:val="00861B6D"/>
    <w:rsid w:val="00862BB2"/>
    <w:rsid w:val="008631D8"/>
    <w:rsid w:val="00864284"/>
    <w:rsid w:val="008651DD"/>
    <w:rsid w:val="008651F7"/>
    <w:rsid w:val="00865618"/>
    <w:rsid w:val="00865A88"/>
    <w:rsid w:val="00866622"/>
    <w:rsid w:val="00866908"/>
    <w:rsid w:val="00867001"/>
    <w:rsid w:val="00867B10"/>
    <w:rsid w:val="00867CF5"/>
    <w:rsid w:val="0087062A"/>
    <w:rsid w:val="00870FA2"/>
    <w:rsid w:val="00871177"/>
    <w:rsid w:val="00871774"/>
    <w:rsid w:val="00872D32"/>
    <w:rsid w:val="00872FA3"/>
    <w:rsid w:val="008744D4"/>
    <w:rsid w:val="00874D71"/>
    <w:rsid w:val="00874E4C"/>
    <w:rsid w:val="00874E72"/>
    <w:rsid w:val="008757DB"/>
    <w:rsid w:val="0087619A"/>
    <w:rsid w:val="0087623E"/>
    <w:rsid w:val="00876BFA"/>
    <w:rsid w:val="00880DB7"/>
    <w:rsid w:val="008817CD"/>
    <w:rsid w:val="00882E7F"/>
    <w:rsid w:val="008831CE"/>
    <w:rsid w:val="0088352E"/>
    <w:rsid w:val="00883815"/>
    <w:rsid w:val="00883BB8"/>
    <w:rsid w:val="0088540A"/>
    <w:rsid w:val="008858E5"/>
    <w:rsid w:val="00885A21"/>
    <w:rsid w:val="00886103"/>
    <w:rsid w:val="00886CA6"/>
    <w:rsid w:val="00887006"/>
    <w:rsid w:val="0089078B"/>
    <w:rsid w:val="00891601"/>
    <w:rsid w:val="00891A2E"/>
    <w:rsid w:val="00891D2E"/>
    <w:rsid w:val="008929B1"/>
    <w:rsid w:val="00892B61"/>
    <w:rsid w:val="00892C6C"/>
    <w:rsid w:val="00892EC1"/>
    <w:rsid w:val="00892FB0"/>
    <w:rsid w:val="00893278"/>
    <w:rsid w:val="008939A7"/>
    <w:rsid w:val="00895DFF"/>
    <w:rsid w:val="00895F5D"/>
    <w:rsid w:val="0089652A"/>
    <w:rsid w:val="008A00B8"/>
    <w:rsid w:val="008A0702"/>
    <w:rsid w:val="008A10F0"/>
    <w:rsid w:val="008A176E"/>
    <w:rsid w:val="008A2DCB"/>
    <w:rsid w:val="008A3514"/>
    <w:rsid w:val="008A3ED2"/>
    <w:rsid w:val="008A4764"/>
    <w:rsid w:val="008A4D2A"/>
    <w:rsid w:val="008A5470"/>
    <w:rsid w:val="008A56B3"/>
    <w:rsid w:val="008A588C"/>
    <w:rsid w:val="008A5D23"/>
    <w:rsid w:val="008A5D24"/>
    <w:rsid w:val="008A5E3E"/>
    <w:rsid w:val="008A5E9C"/>
    <w:rsid w:val="008A75D4"/>
    <w:rsid w:val="008A7D08"/>
    <w:rsid w:val="008A7D6E"/>
    <w:rsid w:val="008B0283"/>
    <w:rsid w:val="008B075E"/>
    <w:rsid w:val="008B206D"/>
    <w:rsid w:val="008B275A"/>
    <w:rsid w:val="008B2C0C"/>
    <w:rsid w:val="008B4FFE"/>
    <w:rsid w:val="008B5298"/>
    <w:rsid w:val="008B6143"/>
    <w:rsid w:val="008B6580"/>
    <w:rsid w:val="008B7751"/>
    <w:rsid w:val="008B7EFB"/>
    <w:rsid w:val="008C19B3"/>
    <w:rsid w:val="008C19CD"/>
    <w:rsid w:val="008C24AB"/>
    <w:rsid w:val="008C2936"/>
    <w:rsid w:val="008C2A1E"/>
    <w:rsid w:val="008C383E"/>
    <w:rsid w:val="008C395F"/>
    <w:rsid w:val="008C3B1A"/>
    <w:rsid w:val="008C4D9B"/>
    <w:rsid w:val="008C51D5"/>
    <w:rsid w:val="008C5284"/>
    <w:rsid w:val="008C6596"/>
    <w:rsid w:val="008C7793"/>
    <w:rsid w:val="008D0D0D"/>
    <w:rsid w:val="008D16B8"/>
    <w:rsid w:val="008D1B7C"/>
    <w:rsid w:val="008D1F71"/>
    <w:rsid w:val="008D23C9"/>
    <w:rsid w:val="008D2D0B"/>
    <w:rsid w:val="008D2F0B"/>
    <w:rsid w:val="008D313A"/>
    <w:rsid w:val="008D5355"/>
    <w:rsid w:val="008D6CEC"/>
    <w:rsid w:val="008D7118"/>
    <w:rsid w:val="008D747D"/>
    <w:rsid w:val="008D75BD"/>
    <w:rsid w:val="008D78D7"/>
    <w:rsid w:val="008E0062"/>
    <w:rsid w:val="008E1A34"/>
    <w:rsid w:val="008E1AE9"/>
    <w:rsid w:val="008E22E2"/>
    <w:rsid w:val="008E24EB"/>
    <w:rsid w:val="008E3380"/>
    <w:rsid w:val="008E3415"/>
    <w:rsid w:val="008E3B70"/>
    <w:rsid w:val="008E3F6F"/>
    <w:rsid w:val="008E48F3"/>
    <w:rsid w:val="008E52F6"/>
    <w:rsid w:val="008E558B"/>
    <w:rsid w:val="008E5E3A"/>
    <w:rsid w:val="008F0989"/>
    <w:rsid w:val="008F179C"/>
    <w:rsid w:val="008F1819"/>
    <w:rsid w:val="008F1C6F"/>
    <w:rsid w:val="008F3A35"/>
    <w:rsid w:val="008F4274"/>
    <w:rsid w:val="008F5C18"/>
    <w:rsid w:val="008F5E08"/>
    <w:rsid w:val="008F6073"/>
    <w:rsid w:val="008F6853"/>
    <w:rsid w:val="008F76C5"/>
    <w:rsid w:val="008F7C1B"/>
    <w:rsid w:val="00900018"/>
    <w:rsid w:val="00900D15"/>
    <w:rsid w:val="009019FC"/>
    <w:rsid w:val="009028BC"/>
    <w:rsid w:val="00902A86"/>
    <w:rsid w:val="00902B82"/>
    <w:rsid w:val="00903021"/>
    <w:rsid w:val="0090386F"/>
    <w:rsid w:val="00904A7D"/>
    <w:rsid w:val="00904F6D"/>
    <w:rsid w:val="00907DD8"/>
    <w:rsid w:val="00907E31"/>
    <w:rsid w:val="00910112"/>
    <w:rsid w:val="00912FBB"/>
    <w:rsid w:val="009132F7"/>
    <w:rsid w:val="00913A0F"/>
    <w:rsid w:val="00914AC4"/>
    <w:rsid w:val="00914DB3"/>
    <w:rsid w:val="0091569C"/>
    <w:rsid w:val="009158EB"/>
    <w:rsid w:val="009163CC"/>
    <w:rsid w:val="0091641C"/>
    <w:rsid w:val="00916F52"/>
    <w:rsid w:val="00917DD4"/>
    <w:rsid w:val="00921CD0"/>
    <w:rsid w:val="00922145"/>
    <w:rsid w:val="00922562"/>
    <w:rsid w:val="00922710"/>
    <w:rsid w:val="00922754"/>
    <w:rsid w:val="0092319A"/>
    <w:rsid w:val="00923BCD"/>
    <w:rsid w:val="009244A2"/>
    <w:rsid w:val="00924826"/>
    <w:rsid w:val="009260CE"/>
    <w:rsid w:val="00926313"/>
    <w:rsid w:val="009269A6"/>
    <w:rsid w:val="00926F2A"/>
    <w:rsid w:val="00930C32"/>
    <w:rsid w:val="00930C94"/>
    <w:rsid w:val="0093100E"/>
    <w:rsid w:val="00931643"/>
    <w:rsid w:val="00931D87"/>
    <w:rsid w:val="00931D9E"/>
    <w:rsid w:val="009322AC"/>
    <w:rsid w:val="00932475"/>
    <w:rsid w:val="00933273"/>
    <w:rsid w:val="009337E5"/>
    <w:rsid w:val="00934B46"/>
    <w:rsid w:val="00934BCD"/>
    <w:rsid w:val="00934F27"/>
    <w:rsid w:val="00935150"/>
    <w:rsid w:val="00935164"/>
    <w:rsid w:val="009351A7"/>
    <w:rsid w:val="00936FFE"/>
    <w:rsid w:val="0093782C"/>
    <w:rsid w:val="00941DFB"/>
    <w:rsid w:val="009423C9"/>
    <w:rsid w:val="009425B2"/>
    <w:rsid w:val="00943553"/>
    <w:rsid w:val="00943EF2"/>
    <w:rsid w:val="009456C3"/>
    <w:rsid w:val="00947079"/>
    <w:rsid w:val="009479DF"/>
    <w:rsid w:val="009500DC"/>
    <w:rsid w:val="00951A8E"/>
    <w:rsid w:val="00954C73"/>
    <w:rsid w:val="00955759"/>
    <w:rsid w:val="00955CC7"/>
    <w:rsid w:val="00955D03"/>
    <w:rsid w:val="00955EBC"/>
    <w:rsid w:val="009563C5"/>
    <w:rsid w:val="0095648C"/>
    <w:rsid w:val="00957784"/>
    <w:rsid w:val="00957D8F"/>
    <w:rsid w:val="00960AB9"/>
    <w:rsid w:val="00960D72"/>
    <w:rsid w:val="00961AE0"/>
    <w:rsid w:val="0096203B"/>
    <w:rsid w:val="009627A5"/>
    <w:rsid w:val="00962A4D"/>
    <w:rsid w:val="009631A2"/>
    <w:rsid w:val="00963E6D"/>
    <w:rsid w:val="0096434B"/>
    <w:rsid w:val="00964896"/>
    <w:rsid w:val="009654BA"/>
    <w:rsid w:val="00966C1B"/>
    <w:rsid w:val="00966F48"/>
    <w:rsid w:val="009673FC"/>
    <w:rsid w:val="00967899"/>
    <w:rsid w:val="00967E20"/>
    <w:rsid w:val="00967EC1"/>
    <w:rsid w:val="00970F21"/>
    <w:rsid w:val="00971E4F"/>
    <w:rsid w:val="0097245A"/>
    <w:rsid w:val="00972727"/>
    <w:rsid w:val="00972B01"/>
    <w:rsid w:val="00973F59"/>
    <w:rsid w:val="0097412C"/>
    <w:rsid w:val="009747ED"/>
    <w:rsid w:val="00975445"/>
    <w:rsid w:val="00975903"/>
    <w:rsid w:val="00976287"/>
    <w:rsid w:val="00976CBA"/>
    <w:rsid w:val="00976ED6"/>
    <w:rsid w:val="0097723D"/>
    <w:rsid w:val="00977577"/>
    <w:rsid w:val="00977BF6"/>
    <w:rsid w:val="00980077"/>
    <w:rsid w:val="00980EAC"/>
    <w:rsid w:val="0098150C"/>
    <w:rsid w:val="0098171D"/>
    <w:rsid w:val="00981EB5"/>
    <w:rsid w:val="009825D3"/>
    <w:rsid w:val="009853CF"/>
    <w:rsid w:val="00985AD1"/>
    <w:rsid w:val="00985AD3"/>
    <w:rsid w:val="00985C82"/>
    <w:rsid w:val="00986A14"/>
    <w:rsid w:val="009879F1"/>
    <w:rsid w:val="00991B1D"/>
    <w:rsid w:val="00991FA3"/>
    <w:rsid w:val="0099253B"/>
    <w:rsid w:val="00993B20"/>
    <w:rsid w:val="00993CA8"/>
    <w:rsid w:val="00993E39"/>
    <w:rsid w:val="00994C3F"/>
    <w:rsid w:val="009968F4"/>
    <w:rsid w:val="00997266"/>
    <w:rsid w:val="00997D9E"/>
    <w:rsid w:val="009A083B"/>
    <w:rsid w:val="009A0848"/>
    <w:rsid w:val="009A0DAD"/>
    <w:rsid w:val="009A10E3"/>
    <w:rsid w:val="009A1A56"/>
    <w:rsid w:val="009A1AE4"/>
    <w:rsid w:val="009A1CD6"/>
    <w:rsid w:val="009A1FFE"/>
    <w:rsid w:val="009A2667"/>
    <w:rsid w:val="009A2FE7"/>
    <w:rsid w:val="009A446A"/>
    <w:rsid w:val="009A5554"/>
    <w:rsid w:val="009A55EC"/>
    <w:rsid w:val="009A5949"/>
    <w:rsid w:val="009A5E2C"/>
    <w:rsid w:val="009A64F8"/>
    <w:rsid w:val="009A799D"/>
    <w:rsid w:val="009A7E2B"/>
    <w:rsid w:val="009B13E2"/>
    <w:rsid w:val="009B1A9A"/>
    <w:rsid w:val="009B27AB"/>
    <w:rsid w:val="009B4C9A"/>
    <w:rsid w:val="009C2403"/>
    <w:rsid w:val="009C27BB"/>
    <w:rsid w:val="009C39A5"/>
    <w:rsid w:val="009C4E8B"/>
    <w:rsid w:val="009C5A49"/>
    <w:rsid w:val="009C7C81"/>
    <w:rsid w:val="009D0BE8"/>
    <w:rsid w:val="009D1245"/>
    <w:rsid w:val="009D1B86"/>
    <w:rsid w:val="009D1D98"/>
    <w:rsid w:val="009D2C1B"/>
    <w:rsid w:val="009D32EA"/>
    <w:rsid w:val="009D3564"/>
    <w:rsid w:val="009D366A"/>
    <w:rsid w:val="009D377E"/>
    <w:rsid w:val="009D3ED6"/>
    <w:rsid w:val="009D4952"/>
    <w:rsid w:val="009D64B8"/>
    <w:rsid w:val="009D6985"/>
    <w:rsid w:val="009D6A27"/>
    <w:rsid w:val="009D6E28"/>
    <w:rsid w:val="009D708D"/>
    <w:rsid w:val="009D7367"/>
    <w:rsid w:val="009E2573"/>
    <w:rsid w:val="009E35D7"/>
    <w:rsid w:val="009E5A89"/>
    <w:rsid w:val="009E5DB6"/>
    <w:rsid w:val="009E64B6"/>
    <w:rsid w:val="009E6579"/>
    <w:rsid w:val="009E69B7"/>
    <w:rsid w:val="009E6CCB"/>
    <w:rsid w:val="009E7955"/>
    <w:rsid w:val="009F0676"/>
    <w:rsid w:val="009F111C"/>
    <w:rsid w:val="009F17F0"/>
    <w:rsid w:val="009F2A6B"/>
    <w:rsid w:val="009F2F17"/>
    <w:rsid w:val="009F3223"/>
    <w:rsid w:val="009F3485"/>
    <w:rsid w:val="009F3978"/>
    <w:rsid w:val="009F555F"/>
    <w:rsid w:val="009F591E"/>
    <w:rsid w:val="009F6041"/>
    <w:rsid w:val="009F6141"/>
    <w:rsid w:val="009F66AC"/>
    <w:rsid w:val="009F6F43"/>
    <w:rsid w:val="009F7C0B"/>
    <w:rsid w:val="00A000C0"/>
    <w:rsid w:val="00A01BF7"/>
    <w:rsid w:val="00A0316D"/>
    <w:rsid w:val="00A0359C"/>
    <w:rsid w:val="00A0393C"/>
    <w:rsid w:val="00A03B68"/>
    <w:rsid w:val="00A03D62"/>
    <w:rsid w:val="00A04748"/>
    <w:rsid w:val="00A04858"/>
    <w:rsid w:val="00A05544"/>
    <w:rsid w:val="00A05F9F"/>
    <w:rsid w:val="00A060F5"/>
    <w:rsid w:val="00A063E8"/>
    <w:rsid w:val="00A07F66"/>
    <w:rsid w:val="00A112A3"/>
    <w:rsid w:val="00A116A4"/>
    <w:rsid w:val="00A12CF7"/>
    <w:rsid w:val="00A138B0"/>
    <w:rsid w:val="00A13942"/>
    <w:rsid w:val="00A14D81"/>
    <w:rsid w:val="00A15D77"/>
    <w:rsid w:val="00A16383"/>
    <w:rsid w:val="00A16F88"/>
    <w:rsid w:val="00A170F7"/>
    <w:rsid w:val="00A20050"/>
    <w:rsid w:val="00A20568"/>
    <w:rsid w:val="00A22179"/>
    <w:rsid w:val="00A239A1"/>
    <w:rsid w:val="00A2506D"/>
    <w:rsid w:val="00A254AB"/>
    <w:rsid w:val="00A26D8F"/>
    <w:rsid w:val="00A26DC6"/>
    <w:rsid w:val="00A27CFA"/>
    <w:rsid w:val="00A3006A"/>
    <w:rsid w:val="00A304BE"/>
    <w:rsid w:val="00A307E3"/>
    <w:rsid w:val="00A339EE"/>
    <w:rsid w:val="00A3454D"/>
    <w:rsid w:val="00A355E7"/>
    <w:rsid w:val="00A35865"/>
    <w:rsid w:val="00A3655B"/>
    <w:rsid w:val="00A36D09"/>
    <w:rsid w:val="00A36EEB"/>
    <w:rsid w:val="00A403CD"/>
    <w:rsid w:val="00A404CE"/>
    <w:rsid w:val="00A404F9"/>
    <w:rsid w:val="00A4196F"/>
    <w:rsid w:val="00A41F37"/>
    <w:rsid w:val="00A43D63"/>
    <w:rsid w:val="00A44821"/>
    <w:rsid w:val="00A45387"/>
    <w:rsid w:val="00A4539A"/>
    <w:rsid w:val="00A46129"/>
    <w:rsid w:val="00A4638E"/>
    <w:rsid w:val="00A47899"/>
    <w:rsid w:val="00A50163"/>
    <w:rsid w:val="00A5062D"/>
    <w:rsid w:val="00A508CF"/>
    <w:rsid w:val="00A51190"/>
    <w:rsid w:val="00A54484"/>
    <w:rsid w:val="00A548EC"/>
    <w:rsid w:val="00A5490F"/>
    <w:rsid w:val="00A54AC3"/>
    <w:rsid w:val="00A55275"/>
    <w:rsid w:val="00A55FFA"/>
    <w:rsid w:val="00A565A6"/>
    <w:rsid w:val="00A566B2"/>
    <w:rsid w:val="00A57569"/>
    <w:rsid w:val="00A577FA"/>
    <w:rsid w:val="00A61FC0"/>
    <w:rsid w:val="00A62690"/>
    <w:rsid w:val="00A62C20"/>
    <w:rsid w:val="00A62C70"/>
    <w:rsid w:val="00A62D1C"/>
    <w:rsid w:val="00A631CB"/>
    <w:rsid w:val="00A635B9"/>
    <w:rsid w:val="00A63BE1"/>
    <w:rsid w:val="00A63E97"/>
    <w:rsid w:val="00A64E9E"/>
    <w:rsid w:val="00A65ACD"/>
    <w:rsid w:val="00A66F14"/>
    <w:rsid w:val="00A66F7A"/>
    <w:rsid w:val="00A67910"/>
    <w:rsid w:val="00A71867"/>
    <w:rsid w:val="00A71ECF"/>
    <w:rsid w:val="00A72625"/>
    <w:rsid w:val="00A726AB"/>
    <w:rsid w:val="00A72C1A"/>
    <w:rsid w:val="00A73D46"/>
    <w:rsid w:val="00A7423E"/>
    <w:rsid w:val="00A747DD"/>
    <w:rsid w:val="00A74CF1"/>
    <w:rsid w:val="00A7667D"/>
    <w:rsid w:val="00A76AE7"/>
    <w:rsid w:val="00A8041B"/>
    <w:rsid w:val="00A805B7"/>
    <w:rsid w:val="00A81194"/>
    <w:rsid w:val="00A81BA4"/>
    <w:rsid w:val="00A83319"/>
    <w:rsid w:val="00A83EA3"/>
    <w:rsid w:val="00A866D9"/>
    <w:rsid w:val="00A8697D"/>
    <w:rsid w:val="00A86C6C"/>
    <w:rsid w:val="00A91B85"/>
    <w:rsid w:val="00A92BCE"/>
    <w:rsid w:val="00A92E4E"/>
    <w:rsid w:val="00A9368C"/>
    <w:rsid w:val="00A93FD2"/>
    <w:rsid w:val="00A94329"/>
    <w:rsid w:val="00A961F4"/>
    <w:rsid w:val="00A9657A"/>
    <w:rsid w:val="00A968ED"/>
    <w:rsid w:val="00AA0080"/>
    <w:rsid w:val="00AA0631"/>
    <w:rsid w:val="00AA0D98"/>
    <w:rsid w:val="00AA0F98"/>
    <w:rsid w:val="00AA1689"/>
    <w:rsid w:val="00AA33EF"/>
    <w:rsid w:val="00AA384E"/>
    <w:rsid w:val="00AA3AD7"/>
    <w:rsid w:val="00AA3C43"/>
    <w:rsid w:val="00AA4315"/>
    <w:rsid w:val="00AA4F67"/>
    <w:rsid w:val="00AA5C11"/>
    <w:rsid w:val="00AA64C4"/>
    <w:rsid w:val="00AA6945"/>
    <w:rsid w:val="00AA6DEC"/>
    <w:rsid w:val="00AA799C"/>
    <w:rsid w:val="00AA7E15"/>
    <w:rsid w:val="00AB0321"/>
    <w:rsid w:val="00AB11F1"/>
    <w:rsid w:val="00AB19D5"/>
    <w:rsid w:val="00AB2377"/>
    <w:rsid w:val="00AB2542"/>
    <w:rsid w:val="00AB4B4D"/>
    <w:rsid w:val="00AB4B82"/>
    <w:rsid w:val="00AC02C2"/>
    <w:rsid w:val="00AC12B6"/>
    <w:rsid w:val="00AC349D"/>
    <w:rsid w:val="00AC3C0E"/>
    <w:rsid w:val="00AC5C92"/>
    <w:rsid w:val="00AC602C"/>
    <w:rsid w:val="00AC6CDA"/>
    <w:rsid w:val="00AC79F3"/>
    <w:rsid w:val="00AD1589"/>
    <w:rsid w:val="00AD15B6"/>
    <w:rsid w:val="00AD2298"/>
    <w:rsid w:val="00AD3DE5"/>
    <w:rsid w:val="00AD4603"/>
    <w:rsid w:val="00AD4C27"/>
    <w:rsid w:val="00AD6152"/>
    <w:rsid w:val="00AD696F"/>
    <w:rsid w:val="00AD6A24"/>
    <w:rsid w:val="00AD738C"/>
    <w:rsid w:val="00AD7558"/>
    <w:rsid w:val="00AD7AAE"/>
    <w:rsid w:val="00AD7CE1"/>
    <w:rsid w:val="00AE0232"/>
    <w:rsid w:val="00AE0390"/>
    <w:rsid w:val="00AE054D"/>
    <w:rsid w:val="00AE0AF6"/>
    <w:rsid w:val="00AE1329"/>
    <w:rsid w:val="00AE3140"/>
    <w:rsid w:val="00AE3511"/>
    <w:rsid w:val="00AE3762"/>
    <w:rsid w:val="00AE415F"/>
    <w:rsid w:val="00AE4AC7"/>
    <w:rsid w:val="00AE4B20"/>
    <w:rsid w:val="00AE552F"/>
    <w:rsid w:val="00AE565D"/>
    <w:rsid w:val="00AE5DC2"/>
    <w:rsid w:val="00AE5E9A"/>
    <w:rsid w:val="00AE6374"/>
    <w:rsid w:val="00AE6578"/>
    <w:rsid w:val="00AE6840"/>
    <w:rsid w:val="00AF0DF8"/>
    <w:rsid w:val="00AF0FFF"/>
    <w:rsid w:val="00AF1E24"/>
    <w:rsid w:val="00AF1ED9"/>
    <w:rsid w:val="00AF217D"/>
    <w:rsid w:val="00AF314A"/>
    <w:rsid w:val="00AF3171"/>
    <w:rsid w:val="00AF340C"/>
    <w:rsid w:val="00AF3FB9"/>
    <w:rsid w:val="00AF6124"/>
    <w:rsid w:val="00AF76FB"/>
    <w:rsid w:val="00AF7C47"/>
    <w:rsid w:val="00B003B3"/>
    <w:rsid w:val="00B00A78"/>
    <w:rsid w:val="00B035CB"/>
    <w:rsid w:val="00B04500"/>
    <w:rsid w:val="00B04790"/>
    <w:rsid w:val="00B04893"/>
    <w:rsid w:val="00B05420"/>
    <w:rsid w:val="00B07A95"/>
    <w:rsid w:val="00B104E0"/>
    <w:rsid w:val="00B11F10"/>
    <w:rsid w:val="00B127EB"/>
    <w:rsid w:val="00B12EAB"/>
    <w:rsid w:val="00B1320E"/>
    <w:rsid w:val="00B1410E"/>
    <w:rsid w:val="00B145FF"/>
    <w:rsid w:val="00B14905"/>
    <w:rsid w:val="00B155F9"/>
    <w:rsid w:val="00B15D5F"/>
    <w:rsid w:val="00B17F5D"/>
    <w:rsid w:val="00B21AFF"/>
    <w:rsid w:val="00B22226"/>
    <w:rsid w:val="00B23571"/>
    <w:rsid w:val="00B242CC"/>
    <w:rsid w:val="00B24E2F"/>
    <w:rsid w:val="00B26102"/>
    <w:rsid w:val="00B268CB"/>
    <w:rsid w:val="00B269AD"/>
    <w:rsid w:val="00B2742C"/>
    <w:rsid w:val="00B27903"/>
    <w:rsid w:val="00B3039C"/>
    <w:rsid w:val="00B31576"/>
    <w:rsid w:val="00B325C2"/>
    <w:rsid w:val="00B33016"/>
    <w:rsid w:val="00B33F1F"/>
    <w:rsid w:val="00B344B4"/>
    <w:rsid w:val="00B34613"/>
    <w:rsid w:val="00B3462B"/>
    <w:rsid w:val="00B34C90"/>
    <w:rsid w:val="00B3505F"/>
    <w:rsid w:val="00B35A27"/>
    <w:rsid w:val="00B35B7D"/>
    <w:rsid w:val="00B35D4C"/>
    <w:rsid w:val="00B36274"/>
    <w:rsid w:val="00B362EE"/>
    <w:rsid w:val="00B3709B"/>
    <w:rsid w:val="00B37B93"/>
    <w:rsid w:val="00B403AE"/>
    <w:rsid w:val="00B41A54"/>
    <w:rsid w:val="00B41B1E"/>
    <w:rsid w:val="00B41B65"/>
    <w:rsid w:val="00B42E8B"/>
    <w:rsid w:val="00B43355"/>
    <w:rsid w:val="00B445CC"/>
    <w:rsid w:val="00B44D8B"/>
    <w:rsid w:val="00B45F13"/>
    <w:rsid w:val="00B45FB8"/>
    <w:rsid w:val="00B4624F"/>
    <w:rsid w:val="00B462B2"/>
    <w:rsid w:val="00B46F29"/>
    <w:rsid w:val="00B5006C"/>
    <w:rsid w:val="00B50625"/>
    <w:rsid w:val="00B51818"/>
    <w:rsid w:val="00B51C1E"/>
    <w:rsid w:val="00B520B6"/>
    <w:rsid w:val="00B52828"/>
    <w:rsid w:val="00B52E3F"/>
    <w:rsid w:val="00B53EC0"/>
    <w:rsid w:val="00B54F6B"/>
    <w:rsid w:val="00B558CB"/>
    <w:rsid w:val="00B57856"/>
    <w:rsid w:val="00B609AB"/>
    <w:rsid w:val="00B60BC9"/>
    <w:rsid w:val="00B61C6D"/>
    <w:rsid w:val="00B624BD"/>
    <w:rsid w:val="00B62648"/>
    <w:rsid w:val="00B626D5"/>
    <w:rsid w:val="00B63291"/>
    <w:rsid w:val="00B64938"/>
    <w:rsid w:val="00B64FE0"/>
    <w:rsid w:val="00B6545A"/>
    <w:rsid w:val="00B66390"/>
    <w:rsid w:val="00B6668E"/>
    <w:rsid w:val="00B66A73"/>
    <w:rsid w:val="00B66E0B"/>
    <w:rsid w:val="00B67818"/>
    <w:rsid w:val="00B67F89"/>
    <w:rsid w:val="00B71114"/>
    <w:rsid w:val="00B7159C"/>
    <w:rsid w:val="00B71A30"/>
    <w:rsid w:val="00B72642"/>
    <w:rsid w:val="00B7283C"/>
    <w:rsid w:val="00B72A57"/>
    <w:rsid w:val="00B72CA5"/>
    <w:rsid w:val="00B74173"/>
    <w:rsid w:val="00B74EBB"/>
    <w:rsid w:val="00B750A7"/>
    <w:rsid w:val="00B75214"/>
    <w:rsid w:val="00B75670"/>
    <w:rsid w:val="00B75E59"/>
    <w:rsid w:val="00B76E1E"/>
    <w:rsid w:val="00B76FAD"/>
    <w:rsid w:val="00B773C0"/>
    <w:rsid w:val="00B77795"/>
    <w:rsid w:val="00B77A67"/>
    <w:rsid w:val="00B77D3D"/>
    <w:rsid w:val="00B81278"/>
    <w:rsid w:val="00B81DB1"/>
    <w:rsid w:val="00B833D5"/>
    <w:rsid w:val="00B836F3"/>
    <w:rsid w:val="00B83B03"/>
    <w:rsid w:val="00B841E0"/>
    <w:rsid w:val="00B8517B"/>
    <w:rsid w:val="00B8517E"/>
    <w:rsid w:val="00B861A1"/>
    <w:rsid w:val="00B87389"/>
    <w:rsid w:val="00B9027D"/>
    <w:rsid w:val="00B9085D"/>
    <w:rsid w:val="00B920FC"/>
    <w:rsid w:val="00B92212"/>
    <w:rsid w:val="00B923E3"/>
    <w:rsid w:val="00B92AA8"/>
    <w:rsid w:val="00B92D4E"/>
    <w:rsid w:val="00B9350E"/>
    <w:rsid w:val="00B94349"/>
    <w:rsid w:val="00B95854"/>
    <w:rsid w:val="00B96982"/>
    <w:rsid w:val="00B96E69"/>
    <w:rsid w:val="00B977C4"/>
    <w:rsid w:val="00BA008B"/>
    <w:rsid w:val="00BA062C"/>
    <w:rsid w:val="00BA0F24"/>
    <w:rsid w:val="00BA266E"/>
    <w:rsid w:val="00BA3058"/>
    <w:rsid w:val="00BA30D9"/>
    <w:rsid w:val="00BA3813"/>
    <w:rsid w:val="00BA3E4F"/>
    <w:rsid w:val="00BA4026"/>
    <w:rsid w:val="00BA4854"/>
    <w:rsid w:val="00BA5085"/>
    <w:rsid w:val="00BA67E7"/>
    <w:rsid w:val="00BA75C0"/>
    <w:rsid w:val="00BB0A50"/>
    <w:rsid w:val="00BB0C12"/>
    <w:rsid w:val="00BB1031"/>
    <w:rsid w:val="00BB3D71"/>
    <w:rsid w:val="00BB4552"/>
    <w:rsid w:val="00BB4A2F"/>
    <w:rsid w:val="00BB5B0F"/>
    <w:rsid w:val="00BB64DE"/>
    <w:rsid w:val="00BB7ED3"/>
    <w:rsid w:val="00BC0C16"/>
    <w:rsid w:val="00BC1767"/>
    <w:rsid w:val="00BC2194"/>
    <w:rsid w:val="00BC3186"/>
    <w:rsid w:val="00BC3C13"/>
    <w:rsid w:val="00BC4282"/>
    <w:rsid w:val="00BC43E1"/>
    <w:rsid w:val="00BC46DD"/>
    <w:rsid w:val="00BC61C5"/>
    <w:rsid w:val="00BC6B48"/>
    <w:rsid w:val="00BC6C37"/>
    <w:rsid w:val="00BC73CC"/>
    <w:rsid w:val="00BC7E65"/>
    <w:rsid w:val="00BD0B74"/>
    <w:rsid w:val="00BD0FF0"/>
    <w:rsid w:val="00BD11E6"/>
    <w:rsid w:val="00BD1334"/>
    <w:rsid w:val="00BD2398"/>
    <w:rsid w:val="00BD2E23"/>
    <w:rsid w:val="00BD4A31"/>
    <w:rsid w:val="00BD4EDE"/>
    <w:rsid w:val="00BD50E7"/>
    <w:rsid w:val="00BD5852"/>
    <w:rsid w:val="00BD6130"/>
    <w:rsid w:val="00BD6B1C"/>
    <w:rsid w:val="00BD719E"/>
    <w:rsid w:val="00BD7F8F"/>
    <w:rsid w:val="00BE0A64"/>
    <w:rsid w:val="00BE1E61"/>
    <w:rsid w:val="00BE3C7F"/>
    <w:rsid w:val="00BE42A4"/>
    <w:rsid w:val="00BE46DA"/>
    <w:rsid w:val="00BE4B4B"/>
    <w:rsid w:val="00BE5238"/>
    <w:rsid w:val="00BE5EF3"/>
    <w:rsid w:val="00BE67F4"/>
    <w:rsid w:val="00BE6CA4"/>
    <w:rsid w:val="00BE6FC3"/>
    <w:rsid w:val="00BE7544"/>
    <w:rsid w:val="00BE7B8E"/>
    <w:rsid w:val="00BF091F"/>
    <w:rsid w:val="00BF0E95"/>
    <w:rsid w:val="00BF1AF5"/>
    <w:rsid w:val="00BF2A0C"/>
    <w:rsid w:val="00BF2D9F"/>
    <w:rsid w:val="00BF34A7"/>
    <w:rsid w:val="00BF4175"/>
    <w:rsid w:val="00BF5737"/>
    <w:rsid w:val="00BF6A93"/>
    <w:rsid w:val="00BF7B36"/>
    <w:rsid w:val="00C00203"/>
    <w:rsid w:val="00C00A6A"/>
    <w:rsid w:val="00C00BFD"/>
    <w:rsid w:val="00C010EA"/>
    <w:rsid w:val="00C01463"/>
    <w:rsid w:val="00C017A6"/>
    <w:rsid w:val="00C03307"/>
    <w:rsid w:val="00C03847"/>
    <w:rsid w:val="00C038D8"/>
    <w:rsid w:val="00C0451A"/>
    <w:rsid w:val="00C04D4E"/>
    <w:rsid w:val="00C06493"/>
    <w:rsid w:val="00C07777"/>
    <w:rsid w:val="00C10808"/>
    <w:rsid w:val="00C11AF3"/>
    <w:rsid w:val="00C122BB"/>
    <w:rsid w:val="00C129D4"/>
    <w:rsid w:val="00C12DE9"/>
    <w:rsid w:val="00C12E28"/>
    <w:rsid w:val="00C1409F"/>
    <w:rsid w:val="00C150EA"/>
    <w:rsid w:val="00C15105"/>
    <w:rsid w:val="00C15257"/>
    <w:rsid w:val="00C17588"/>
    <w:rsid w:val="00C207F6"/>
    <w:rsid w:val="00C214A6"/>
    <w:rsid w:val="00C21B2A"/>
    <w:rsid w:val="00C21EBE"/>
    <w:rsid w:val="00C22354"/>
    <w:rsid w:val="00C22491"/>
    <w:rsid w:val="00C22617"/>
    <w:rsid w:val="00C22757"/>
    <w:rsid w:val="00C23C7D"/>
    <w:rsid w:val="00C24009"/>
    <w:rsid w:val="00C24E6A"/>
    <w:rsid w:val="00C2509B"/>
    <w:rsid w:val="00C2695E"/>
    <w:rsid w:val="00C26A83"/>
    <w:rsid w:val="00C26BF4"/>
    <w:rsid w:val="00C26C97"/>
    <w:rsid w:val="00C2751D"/>
    <w:rsid w:val="00C27F64"/>
    <w:rsid w:val="00C31066"/>
    <w:rsid w:val="00C331BB"/>
    <w:rsid w:val="00C33CD0"/>
    <w:rsid w:val="00C348CA"/>
    <w:rsid w:val="00C34CEE"/>
    <w:rsid w:val="00C34DCB"/>
    <w:rsid w:val="00C3546E"/>
    <w:rsid w:val="00C35E8F"/>
    <w:rsid w:val="00C36D61"/>
    <w:rsid w:val="00C40957"/>
    <w:rsid w:val="00C40D77"/>
    <w:rsid w:val="00C415F2"/>
    <w:rsid w:val="00C423E9"/>
    <w:rsid w:val="00C42B7D"/>
    <w:rsid w:val="00C42C7D"/>
    <w:rsid w:val="00C43849"/>
    <w:rsid w:val="00C43B9A"/>
    <w:rsid w:val="00C4428E"/>
    <w:rsid w:val="00C4453B"/>
    <w:rsid w:val="00C44C31"/>
    <w:rsid w:val="00C44CCF"/>
    <w:rsid w:val="00C4561F"/>
    <w:rsid w:val="00C4564D"/>
    <w:rsid w:val="00C45F8D"/>
    <w:rsid w:val="00C46B20"/>
    <w:rsid w:val="00C46F8D"/>
    <w:rsid w:val="00C47EAE"/>
    <w:rsid w:val="00C47FEF"/>
    <w:rsid w:val="00C50AE4"/>
    <w:rsid w:val="00C51DEA"/>
    <w:rsid w:val="00C51FE0"/>
    <w:rsid w:val="00C52731"/>
    <w:rsid w:val="00C537D0"/>
    <w:rsid w:val="00C544CF"/>
    <w:rsid w:val="00C544F0"/>
    <w:rsid w:val="00C54F60"/>
    <w:rsid w:val="00C55958"/>
    <w:rsid w:val="00C55987"/>
    <w:rsid w:val="00C56D0D"/>
    <w:rsid w:val="00C5708F"/>
    <w:rsid w:val="00C602EE"/>
    <w:rsid w:val="00C61FED"/>
    <w:rsid w:val="00C62E60"/>
    <w:rsid w:val="00C64905"/>
    <w:rsid w:val="00C65A64"/>
    <w:rsid w:val="00C66144"/>
    <w:rsid w:val="00C66EE3"/>
    <w:rsid w:val="00C67020"/>
    <w:rsid w:val="00C67979"/>
    <w:rsid w:val="00C67C13"/>
    <w:rsid w:val="00C70742"/>
    <w:rsid w:val="00C72622"/>
    <w:rsid w:val="00C72F53"/>
    <w:rsid w:val="00C73512"/>
    <w:rsid w:val="00C73A3F"/>
    <w:rsid w:val="00C74D9E"/>
    <w:rsid w:val="00C7553C"/>
    <w:rsid w:val="00C76880"/>
    <w:rsid w:val="00C768F5"/>
    <w:rsid w:val="00C76A96"/>
    <w:rsid w:val="00C804EE"/>
    <w:rsid w:val="00C81AB0"/>
    <w:rsid w:val="00C81AB2"/>
    <w:rsid w:val="00C82C9D"/>
    <w:rsid w:val="00C8302A"/>
    <w:rsid w:val="00C83410"/>
    <w:rsid w:val="00C83436"/>
    <w:rsid w:val="00C8370C"/>
    <w:rsid w:val="00C83D98"/>
    <w:rsid w:val="00C8413E"/>
    <w:rsid w:val="00C84220"/>
    <w:rsid w:val="00C84229"/>
    <w:rsid w:val="00C85685"/>
    <w:rsid w:val="00C85EDB"/>
    <w:rsid w:val="00C85FB4"/>
    <w:rsid w:val="00C862E8"/>
    <w:rsid w:val="00C8681E"/>
    <w:rsid w:val="00C86ED5"/>
    <w:rsid w:val="00C877D9"/>
    <w:rsid w:val="00C879F9"/>
    <w:rsid w:val="00C87A11"/>
    <w:rsid w:val="00C910A1"/>
    <w:rsid w:val="00C940B2"/>
    <w:rsid w:val="00C95400"/>
    <w:rsid w:val="00C95E6A"/>
    <w:rsid w:val="00C961BB"/>
    <w:rsid w:val="00C96217"/>
    <w:rsid w:val="00C96DF4"/>
    <w:rsid w:val="00C96E1F"/>
    <w:rsid w:val="00C97222"/>
    <w:rsid w:val="00CA0218"/>
    <w:rsid w:val="00CA0B3F"/>
    <w:rsid w:val="00CA155F"/>
    <w:rsid w:val="00CA2A32"/>
    <w:rsid w:val="00CA2EB9"/>
    <w:rsid w:val="00CA37EE"/>
    <w:rsid w:val="00CA3B41"/>
    <w:rsid w:val="00CA51FE"/>
    <w:rsid w:val="00CA56BE"/>
    <w:rsid w:val="00CA6233"/>
    <w:rsid w:val="00CA66E8"/>
    <w:rsid w:val="00CA6B0F"/>
    <w:rsid w:val="00CA74EB"/>
    <w:rsid w:val="00CA7A5E"/>
    <w:rsid w:val="00CB0FFA"/>
    <w:rsid w:val="00CB1A5C"/>
    <w:rsid w:val="00CB22FD"/>
    <w:rsid w:val="00CB268E"/>
    <w:rsid w:val="00CB469B"/>
    <w:rsid w:val="00CB65D9"/>
    <w:rsid w:val="00CB6C1B"/>
    <w:rsid w:val="00CB72CF"/>
    <w:rsid w:val="00CB7CB7"/>
    <w:rsid w:val="00CC04DD"/>
    <w:rsid w:val="00CC23EA"/>
    <w:rsid w:val="00CC47BB"/>
    <w:rsid w:val="00CC4955"/>
    <w:rsid w:val="00CC5750"/>
    <w:rsid w:val="00CC5B64"/>
    <w:rsid w:val="00CC5BA0"/>
    <w:rsid w:val="00CC77B8"/>
    <w:rsid w:val="00CD0C79"/>
    <w:rsid w:val="00CD0F12"/>
    <w:rsid w:val="00CD20D6"/>
    <w:rsid w:val="00CD3FDC"/>
    <w:rsid w:val="00CD4419"/>
    <w:rsid w:val="00CD6D99"/>
    <w:rsid w:val="00CE1037"/>
    <w:rsid w:val="00CE18D7"/>
    <w:rsid w:val="00CE21A1"/>
    <w:rsid w:val="00CE3B7D"/>
    <w:rsid w:val="00CE4F7E"/>
    <w:rsid w:val="00CE55F8"/>
    <w:rsid w:val="00CE57D3"/>
    <w:rsid w:val="00CE5ED1"/>
    <w:rsid w:val="00CE6989"/>
    <w:rsid w:val="00CE6A39"/>
    <w:rsid w:val="00CE6B79"/>
    <w:rsid w:val="00CE6F58"/>
    <w:rsid w:val="00CE77A2"/>
    <w:rsid w:val="00CE78AF"/>
    <w:rsid w:val="00CF06E3"/>
    <w:rsid w:val="00CF11EA"/>
    <w:rsid w:val="00CF1986"/>
    <w:rsid w:val="00CF1DFA"/>
    <w:rsid w:val="00CF3546"/>
    <w:rsid w:val="00CF597B"/>
    <w:rsid w:val="00CF5A39"/>
    <w:rsid w:val="00CF5F06"/>
    <w:rsid w:val="00CF6C2C"/>
    <w:rsid w:val="00CF6F85"/>
    <w:rsid w:val="00CF7F2E"/>
    <w:rsid w:val="00D008AC"/>
    <w:rsid w:val="00D00B04"/>
    <w:rsid w:val="00D00B53"/>
    <w:rsid w:val="00D00D9F"/>
    <w:rsid w:val="00D016B7"/>
    <w:rsid w:val="00D02453"/>
    <w:rsid w:val="00D024B1"/>
    <w:rsid w:val="00D02764"/>
    <w:rsid w:val="00D0323C"/>
    <w:rsid w:val="00D0362F"/>
    <w:rsid w:val="00D04A2A"/>
    <w:rsid w:val="00D04BD2"/>
    <w:rsid w:val="00D05659"/>
    <w:rsid w:val="00D066CF"/>
    <w:rsid w:val="00D073EA"/>
    <w:rsid w:val="00D10643"/>
    <w:rsid w:val="00D1066F"/>
    <w:rsid w:val="00D112EB"/>
    <w:rsid w:val="00D13760"/>
    <w:rsid w:val="00D13AD3"/>
    <w:rsid w:val="00D14099"/>
    <w:rsid w:val="00D143B4"/>
    <w:rsid w:val="00D14963"/>
    <w:rsid w:val="00D15A84"/>
    <w:rsid w:val="00D15EA0"/>
    <w:rsid w:val="00D15EA7"/>
    <w:rsid w:val="00D15EC6"/>
    <w:rsid w:val="00D16099"/>
    <w:rsid w:val="00D163D2"/>
    <w:rsid w:val="00D1716A"/>
    <w:rsid w:val="00D176D4"/>
    <w:rsid w:val="00D21045"/>
    <w:rsid w:val="00D211A9"/>
    <w:rsid w:val="00D2186C"/>
    <w:rsid w:val="00D21CE4"/>
    <w:rsid w:val="00D21E0F"/>
    <w:rsid w:val="00D22BD4"/>
    <w:rsid w:val="00D22F8E"/>
    <w:rsid w:val="00D230A8"/>
    <w:rsid w:val="00D234AD"/>
    <w:rsid w:val="00D23CD0"/>
    <w:rsid w:val="00D23E0A"/>
    <w:rsid w:val="00D24176"/>
    <w:rsid w:val="00D24BB7"/>
    <w:rsid w:val="00D2542D"/>
    <w:rsid w:val="00D2586F"/>
    <w:rsid w:val="00D25B70"/>
    <w:rsid w:val="00D25D23"/>
    <w:rsid w:val="00D26673"/>
    <w:rsid w:val="00D266B7"/>
    <w:rsid w:val="00D26D5F"/>
    <w:rsid w:val="00D26D96"/>
    <w:rsid w:val="00D27BDC"/>
    <w:rsid w:val="00D30B5B"/>
    <w:rsid w:val="00D30E4B"/>
    <w:rsid w:val="00D318B8"/>
    <w:rsid w:val="00D31E35"/>
    <w:rsid w:val="00D31F4C"/>
    <w:rsid w:val="00D32865"/>
    <w:rsid w:val="00D33C76"/>
    <w:rsid w:val="00D34967"/>
    <w:rsid w:val="00D34B85"/>
    <w:rsid w:val="00D35147"/>
    <w:rsid w:val="00D35D78"/>
    <w:rsid w:val="00D369C1"/>
    <w:rsid w:val="00D376D9"/>
    <w:rsid w:val="00D37FF6"/>
    <w:rsid w:val="00D37FFD"/>
    <w:rsid w:val="00D40C81"/>
    <w:rsid w:val="00D41452"/>
    <w:rsid w:val="00D415F2"/>
    <w:rsid w:val="00D4225B"/>
    <w:rsid w:val="00D4228A"/>
    <w:rsid w:val="00D429F0"/>
    <w:rsid w:val="00D42C6B"/>
    <w:rsid w:val="00D430E1"/>
    <w:rsid w:val="00D433F5"/>
    <w:rsid w:val="00D43493"/>
    <w:rsid w:val="00D43E03"/>
    <w:rsid w:val="00D4555F"/>
    <w:rsid w:val="00D478EC"/>
    <w:rsid w:val="00D50497"/>
    <w:rsid w:val="00D507D3"/>
    <w:rsid w:val="00D51332"/>
    <w:rsid w:val="00D516C3"/>
    <w:rsid w:val="00D5173B"/>
    <w:rsid w:val="00D51C7A"/>
    <w:rsid w:val="00D53114"/>
    <w:rsid w:val="00D53428"/>
    <w:rsid w:val="00D537B7"/>
    <w:rsid w:val="00D53B6B"/>
    <w:rsid w:val="00D53D2C"/>
    <w:rsid w:val="00D5563C"/>
    <w:rsid w:val="00D55743"/>
    <w:rsid w:val="00D55C4A"/>
    <w:rsid w:val="00D5657E"/>
    <w:rsid w:val="00D56ABC"/>
    <w:rsid w:val="00D61651"/>
    <w:rsid w:val="00D61CB1"/>
    <w:rsid w:val="00D6284D"/>
    <w:rsid w:val="00D62BCC"/>
    <w:rsid w:val="00D62C85"/>
    <w:rsid w:val="00D62E53"/>
    <w:rsid w:val="00D660F6"/>
    <w:rsid w:val="00D66316"/>
    <w:rsid w:val="00D70A66"/>
    <w:rsid w:val="00D7189C"/>
    <w:rsid w:val="00D721FB"/>
    <w:rsid w:val="00D72A30"/>
    <w:rsid w:val="00D73154"/>
    <w:rsid w:val="00D736B8"/>
    <w:rsid w:val="00D73F0F"/>
    <w:rsid w:val="00D74244"/>
    <w:rsid w:val="00D7436A"/>
    <w:rsid w:val="00D74F52"/>
    <w:rsid w:val="00D755DC"/>
    <w:rsid w:val="00D757B8"/>
    <w:rsid w:val="00D76086"/>
    <w:rsid w:val="00D774EA"/>
    <w:rsid w:val="00D80D2C"/>
    <w:rsid w:val="00D81CF8"/>
    <w:rsid w:val="00D8207A"/>
    <w:rsid w:val="00D82837"/>
    <w:rsid w:val="00D83521"/>
    <w:rsid w:val="00D84C68"/>
    <w:rsid w:val="00D8504D"/>
    <w:rsid w:val="00D85B48"/>
    <w:rsid w:val="00D85C53"/>
    <w:rsid w:val="00D8631D"/>
    <w:rsid w:val="00D865CC"/>
    <w:rsid w:val="00D866DA"/>
    <w:rsid w:val="00D86C87"/>
    <w:rsid w:val="00D86D49"/>
    <w:rsid w:val="00D86FBF"/>
    <w:rsid w:val="00D87148"/>
    <w:rsid w:val="00D90E86"/>
    <w:rsid w:val="00D930B7"/>
    <w:rsid w:val="00D9347A"/>
    <w:rsid w:val="00D940A2"/>
    <w:rsid w:val="00D949FD"/>
    <w:rsid w:val="00D94A63"/>
    <w:rsid w:val="00D963E6"/>
    <w:rsid w:val="00D966E6"/>
    <w:rsid w:val="00DA082A"/>
    <w:rsid w:val="00DA21FB"/>
    <w:rsid w:val="00DA2E27"/>
    <w:rsid w:val="00DA2FD5"/>
    <w:rsid w:val="00DA42AE"/>
    <w:rsid w:val="00DA5C5E"/>
    <w:rsid w:val="00DA66A1"/>
    <w:rsid w:val="00DA6987"/>
    <w:rsid w:val="00DA7270"/>
    <w:rsid w:val="00DA7322"/>
    <w:rsid w:val="00DB009C"/>
    <w:rsid w:val="00DB0749"/>
    <w:rsid w:val="00DB0ADD"/>
    <w:rsid w:val="00DB10E5"/>
    <w:rsid w:val="00DB20F7"/>
    <w:rsid w:val="00DB2DBE"/>
    <w:rsid w:val="00DB40A3"/>
    <w:rsid w:val="00DB436E"/>
    <w:rsid w:val="00DB558B"/>
    <w:rsid w:val="00DB55A8"/>
    <w:rsid w:val="00DB6256"/>
    <w:rsid w:val="00DB6689"/>
    <w:rsid w:val="00DB6A97"/>
    <w:rsid w:val="00DB74B8"/>
    <w:rsid w:val="00DC0795"/>
    <w:rsid w:val="00DC0EA0"/>
    <w:rsid w:val="00DC1732"/>
    <w:rsid w:val="00DC2666"/>
    <w:rsid w:val="00DC3862"/>
    <w:rsid w:val="00DC3C1B"/>
    <w:rsid w:val="00DC465F"/>
    <w:rsid w:val="00DC4EDF"/>
    <w:rsid w:val="00DC572B"/>
    <w:rsid w:val="00DC7E41"/>
    <w:rsid w:val="00DD0BE4"/>
    <w:rsid w:val="00DD1087"/>
    <w:rsid w:val="00DD1994"/>
    <w:rsid w:val="00DD2952"/>
    <w:rsid w:val="00DD3014"/>
    <w:rsid w:val="00DD31DC"/>
    <w:rsid w:val="00DD3344"/>
    <w:rsid w:val="00DD39D6"/>
    <w:rsid w:val="00DD449E"/>
    <w:rsid w:val="00DD4D52"/>
    <w:rsid w:val="00DD58D4"/>
    <w:rsid w:val="00DD5F3F"/>
    <w:rsid w:val="00DD6BDF"/>
    <w:rsid w:val="00DD7516"/>
    <w:rsid w:val="00DD7554"/>
    <w:rsid w:val="00DD7BE0"/>
    <w:rsid w:val="00DE07FF"/>
    <w:rsid w:val="00DE1AB1"/>
    <w:rsid w:val="00DE3C34"/>
    <w:rsid w:val="00DE3E9B"/>
    <w:rsid w:val="00DE41B8"/>
    <w:rsid w:val="00DE43AD"/>
    <w:rsid w:val="00DE47F8"/>
    <w:rsid w:val="00DE4F8D"/>
    <w:rsid w:val="00DE5C2C"/>
    <w:rsid w:val="00DF1155"/>
    <w:rsid w:val="00DF12B0"/>
    <w:rsid w:val="00DF23DB"/>
    <w:rsid w:val="00DF2C1A"/>
    <w:rsid w:val="00DF2DE8"/>
    <w:rsid w:val="00DF33BC"/>
    <w:rsid w:val="00DF3427"/>
    <w:rsid w:val="00DF343C"/>
    <w:rsid w:val="00DF43ED"/>
    <w:rsid w:val="00DF451C"/>
    <w:rsid w:val="00DF4AE9"/>
    <w:rsid w:val="00DF5948"/>
    <w:rsid w:val="00DF685D"/>
    <w:rsid w:val="00DF68C0"/>
    <w:rsid w:val="00DF691E"/>
    <w:rsid w:val="00DF79EA"/>
    <w:rsid w:val="00DF7BA5"/>
    <w:rsid w:val="00DF7E24"/>
    <w:rsid w:val="00E01D57"/>
    <w:rsid w:val="00E0211D"/>
    <w:rsid w:val="00E02240"/>
    <w:rsid w:val="00E0303A"/>
    <w:rsid w:val="00E03433"/>
    <w:rsid w:val="00E05789"/>
    <w:rsid w:val="00E0587D"/>
    <w:rsid w:val="00E068E1"/>
    <w:rsid w:val="00E06E4B"/>
    <w:rsid w:val="00E0703A"/>
    <w:rsid w:val="00E11504"/>
    <w:rsid w:val="00E11643"/>
    <w:rsid w:val="00E125DB"/>
    <w:rsid w:val="00E12BDB"/>
    <w:rsid w:val="00E1382C"/>
    <w:rsid w:val="00E14012"/>
    <w:rsid w:val="00E14EBE"/>
    <w:rsid w:val="00E1786F"/>
    <w:rsid w:val="00E207FA"/>
    <w:rsid w:val="00E222A5"/>
    <w:rsid w:val="00E22557"/>
    <w:rsid w:val="00E22565"/>
    <w:rsid w:val="00E22880"/>
    <w:rsid w:val="00E22B29"/>
    <w:rsid w:val="00E23795"/>
    <w:rsid w:val="00E239EF"/>
    <w:rsid w:val="00E23B9B"/>
    <w:rsid w:val="00E24B52"/>
    <w:rsid w:val="00E24E9D"/>
    <w:rsid w:val="00E25992"/>
    <w:rsid w:val="00E25B2B"/>
    <w:rsid w:val="00E27600"/>
    <w:rsid w:val="00E31161"/>
    <w:rsid w:val="00E33E29"/>
    <w:rsid w:val="00E34731"/>
    <w:rsid w:val="00E34947"/>
    <w:rsid w:val="00E35261"/>
    <w:rsid w:val="00E36ADD"/>
    <w:rsid w:val="00E36B6D"/>
    <w:rsid w:val="00E37B8D"/>
    <w:rsid w:val="00E41A96"/>
    <w:rsid w:val="00E4323E"/>
    <w:rsid w:val="00E44417"/>
    <w:rsid w:val="00E44DEB"/>
    <w:rsid w:val="00E4642E"/>
    <w:rsid w:val="00E47378"/>
    <w:rsid w:val="00E4739B"/>
    <w:rsid w:val="00E47DCE"/>
    <w:rsid w:val="00E501E0"/>
    <w:rsid w:val="00E50706"/>
    <w:rsid w:val="00E508F9"/>
    <w:rsid w:val="00E51701"/>
    <w:rsid w:val="00E520A2"/>
    <w:rsid w:val="00E52520"/>
    <w:rsid w:val="00E5259C"/>
    <w:rsid w:val="00E53544"/>
    <w:rsid w:val="00E53B12"/>
    <w:rsid w:val="00E541D0"/>
    <w:rsid w:val="00E553C6"/>
    <w:rsid w:val="00E55956"/>
    <w:rsid w:val="00E5621B"/>
    <w:rsid w:val="00E56A3E"/>
    <w:rsid w:val="00E617B7"/>
    <w:rsid w:val="00E625FD"/>
    <w:rsid w:val="00E62970"/>
    <w:rsid w:val="00E63293"/>
    <w:rsid w:val="00E632D7"/>
    <w:rsid w:val="00E6375A"/>
    <w:rsid w:val="00E65D07"/>
    <w:rsid w:val="00E71600"/>
    <w:rsid w:val="00E71C04"/>
    <w:rsid w:val="00E72B0C"/>
    <w:rsid w:val="00E730D8"/>
    <w:rsid w:val="00E735D9"/>
    <w:rsid w:val="00E73A56"/>
    <w:rsid w:val="00E73CF2"/>
    <w:rsid w:val="00E755F5"/>
    <w:rsid w:val="00E7583A"/>
    <w:rsid w:val="00E801AB"/>
    <w:rsid w:val="00E80733"/>
    <w:rsid w:val="00E81B66"/>
    <w:rsid w:val="00E82F1B"/>
    <w:rsid w:val="00E84029"/>
    <w:rsid w:val="00E8471B"/>
    <w:rsid w:val="00E86945"/>
    <w:rsid w:val="00E86ACD"/>
    <w:rsid w:val="00E86D8D"/>
    <w:rsid w:val="00E871E1"/>
    <w:rsid w:val="00E905D2"/>
    <w:rsid w:val="00E909C4"/>
    <w:rsid w:val="00E909DE"/>
    <w:rsid w:val="00E90EC3"/>
    <w:rsid w:val="00E9137C"/>
    <w:rsid w:val="00E914A8"/>
    <w:rsid w:val="00E92A03"/>
    <w:rsid w:val="00E92E96"/>
    <w:rsid w:val="00E92FF2"/>
    <w:rsid w:val="00E937CB"/>
    <w:rsid w:val="00E95CB4"/>
    <w:rsid w:val="00E96D0A"/>
    <w:rsid w:val="00E96EBF"/>
    <w:rsid w:val="00E97073"/>
    <w:rsid w:val="00EA1C47"/>
    <w:rsid w:val="00EA2E25"/>
    <w:rsid w:val="00EA4409"/>
    <w:rsid w:val="00EA44E2"/>
    <w:rsid w:val="00EA611F"/>
    <w:rsid w:val="00EA6CF1"/>
    <w:rsid w:val="00EA6E15"/>
    <w:rsid w:val="00EA7E8F"/>
    <w:rsid w:val="00EB0086"/>
    <w:rsid w:val="00EB0430"/>
    <w:rsid w:val="00EB0743"/>
    <w:rsid w:val="00EB265A"/>
    <w:rsid w:val="00EB2D46"/>
    <w:rsid w:val="00EB450D"/>
    <w:rsid w:val="00EB46A0"/>
    <w:rsid w:val="00EB504E"/>
    <w:rsid w:val="00EB57A8"/>
    <w:rsid w:val="00EB5809"/>
    <w:rsid w:val="00EB607F"/>
    <w:rsid w:val="00EC0A23"/>
    <w:rsid w:val="00EC1159"/>
    <w:rsid w:val="00EC116B"/>
    <w:rsid w:val="00EC1EC7"/>
    <w:rsid w:val="00EC227D"/>
    <w:rsid w:val="00EC3DC3"/>
    <w:rsid w:val="00EC4331"/>
    <w:rsid w:val="00EC493E"/>
    <w:rsid w:val="00EC5C35"/>
    <w:rsid w:val="00ED0190"/>
    <w:rsid w:val="00ED05CA"/>
    <w:rsid w:val="00ED0ACF"/>
    <w:rsid w:val="00ED0B1A"/>
    <w:rsid w:val="00ED2318"/>
    <w:rsid w:val="00ED2D1C"/>
    <w:rsid w:val="00ED2D50"/>
    <w:rsid w:val="00ED2E17"/>
    <w:rsid w:val="00ED3395"/>
    <w:rsid w:val="00ED3E9F"/>
    <w:rsid w:val="00ED5A44"/>
    <w:rsid w:val="00ED601F"/>
    <w:rsid w:val="00ED6445"/>
    <w:rsid w:val="00ED6DAC"/>
    <w:rsid w:val="00EE0175"/>
    <w:rsid w:val="00EE14FB"/>
    <w:rsid w:val="00EE2044"/>
    <w:rsid w:val="00EE244D"/>
    <w:rsid w:val="00EE2746"/>
    <w:rsid w:val="00EE2CF0"/>
    <w:rsid w:val="00EE4DE9"/>
    <w:rsid w:val="00EE5A8A"/>
    <w:rsid w:val="00EE5BA0"/>
    <w:rsid w:val="00EE67F7"/>
    <w:rsid w:val="00EE6AA2"/>
    <w:rsid w:val="00EE6FFE"/>
    <w:rsid w:val="00EE7B8F"/>
    <w:rsid w:val="00EF08F7"/>
    <w:rsid w:val="00EF1947"/>
    <w:rsid w:val="00EF25E4"/>
    <w:rsid w:val="00EF3E9F"/>
    <w:rsid w:val="00EF6F92"/>
    <w:rsid w:val="00EF7D36"/>
    <w:rsid w:val="00F01EDB"/>
    <w:rsid w:val="00F02052"/>
    <w:rsid w:val="00F0253E"/>
    <w:rsid w:val="00F035F5"/>
    <w:rsid w:val="00F047FA"/>
    <w:rsid w:val="00F05108"/>
    <w:rsid w:val="00F05D3A"/>
    <w:rsid w:val="00F06067"/>
    <w:rsid w:val="00F0627D"/>
    <w:rsid w:val="00F065BD"/>
    <w:rsid w:val="00F065C5"/>
    <w:rsid w:val="00F06E30"/>
    <w:rsid w:val="00F06EF7"/>
    <w:rsid w:val="00F07214"/>
    <w:rsid w:val="00F1091C"/>
    <w:rsid w:val="00F10B47"/>
    <w:rsid w:val="00F11A32"/>
    <w:rsid w:val="00F11D65"/>
    <w:rsid w:val="00F13164"/>
    <w:rsid w:val="00F13542"/>
    <w:rsid w:val="00F13893"/>
    <w:rsid w:val="00F1446B"/>
    <w:rsid w:val="00F1451B"/>
    <w:rsid w:val="00F14895"/>
    <w:rsid w:val="00F149CE"/>
    <w:rsid w:val="00F16F98"/>
    <w:rsid w:val="00F20025"/>
    <w:rsid w:val="00F203BC"/>
    <w:rsid w:val="00F215CB"/>
    <w:rsid w:val="00F218FE"/>
    <w:rsid w:val="00F21A0C"/>
    <w:rsid w:val="00F21FA6"/>
    <w:rsid w:val="00F2474E"/>
    <w:rsid w:val="00F25269"/>
    <w:rsid w:val="00F25427"/>
    <w:rsid w:val="00F25712"/>
    <w:rsid w:val="00F26549"/>
    <w:rsid w:val="00F26ACB"/>
    <w:rsid w:val="00F270F3"/>
    <w:rsid w:val="00F27792"/>
    <w:rsid w:val="00F27AF3"/>
    <w:rsid w:val="00F27DB0"/>
    <w:rsid w:val="00F3019C"/>
    <w:rsid w:val="00F309FC"/>
    <w:rsid w:val="00F30D65"/>
    <w:rsid w:val="00F31B96"/>
    <w:rsid w:val="00F31C67"/>
    <w:rsid w:val="00F32BED"/>
    <w:rsid w:val="00F33217"/>
    <w:rsid w:val="00F343D0"/>
    <w:rsid w:val="00F34604"/>
    <w:rsid w:val="00F347E4"/>
    <w:rsid w:val="00F35FB5"/>
    <w:rsid w:val="00F36C20"/>
    <w:rsid w:val="00F36CC5"/>
    <w:rsid w:val="00F36DFC"/>
    <w:rsid w:val="00F36EF6"/>
    <w:rsid w:val="00F40449"/>
    <w:rsid w:val="00F40991"/>
    <w:rsid w:val="00F409A7"/>
    <w:rsid w:val="00F410E5"/>
    <w:rsid w:val="00F41645"/>
    <w:rsid w:val="00F41AA1"/>
    <w:rsid w:val="00F41F5E"/>
    <w:rsid w:val="00F4317D"/>
    <w:rsid w:val="00F43383"/>
    <w:rsid w:val="00F438EB"/>
    <w:rsid w:val="00F43D0B"/>
    <w:rsid w:val="00F47977"/>
    <w:rsid w:val="00F504D9"/>
    <w:rsid w:val="00F507EB"/>
    <w:rsid w:val="00F51D50"/>
    <w:rsid w:val="00F5257D"/>
    <w:rsid w:val="00F52D0F"/>
    <w:rsid w:val="00F53249"/>
    <w:rsid w:val="00F5437F"/>
    <w:rsid w:val="00F56DF7"/>
    <w:rsid w:val="00F56F07"/>
    <w:rsid w:val="00F5736F"/>
    <w:rsid w:val="00F57529"/>
    <w:rsid w:val="00F61065"/>
    <w:rsid w:val="00F61891"/>
    <w:rsid w:val="00F61C6A"/>
    <w:rsid w:val="00F61E05"/>
    <w:rsid w:val="00F630A2"/>
    <w:rsid w:val="00F63735"/>
    <w:rsid w:val="00F63ADA"/>
    <w:rsid w:val="00F64132"/>
    <w:rsid w:val="00F643D6"/>
    <w:rsid w:val="00F64782"/>
    <w:rsid w:val="00F65CCB"/>
    <w:rsid w:val="00F664B9"/>
    <w:rsid w:val="00F66511"/>
    <w:rsid w:val="00F6736E"/>
    <w:rsid w:val="00F70084"/>
    <w:rsid w:val="00F70271"/>
    <w:rsid w:val="00F7032C"/>
    <w:rsid w:val="00F7106E"/>
    <w:rsid w:val="00F7140C"/>
    <w:rsid w:val="00F71754"/>
    <w:rsid w:val="00F71964"/>
    <w:rsid w:val="00F72746"/>
    <w:rsid w:val="00F72DD8"/>
    <w:rsid w:val="00F73048"/>
    <w:rsid w:val="00F73512"/>
    <w:rsid w:val="00F73E57"/>
    <w:rsid w:val="00F743DB"/>
    <w:rsid w:val="00F75259"/>
    <w:rsid w:val="00F75376"/>
    <w:rsid w:val="00F77559"/>
    <w:rsid w:val="00F776D9"/>
    <w:rsid w:val="00F82BA1"/>
    <w:rsid w:val="00F84629"/>
    <w:rsid w:val="00F85068"/>
    <w:rsid w:val="00F851A9"/>
    <w:rsid w:val="00F869DD"/>
    <w:rsid w:val="00F86ECB"/>
    <w:rsid w:val="00F87BF2"/>
    <w:rsid w:val="00F87DC6"/>
    <w:rsid w:val="00F9065B"/>
    <w:rsid w:val="00F90BA2"/>
    <w:rsid w:val="00F90D22"/>
    <w:rsid w:val="00F91406"/>
    <w:rsid w:val="00F91E52"/>
    <w:rsid w:val="00F922A0"/>
    <w:rsid w:val="00F927A3"/>
    <w:rsid w:val="00F93A24"/>
    <w:rsid w:val="00F94055"/>
    <w:rsid w:val="00F942C4"/>
    <w:rsid w:val="00F94B24"/>
    <w:rsid w:val="00F95CE6"/>
    <w:rsid w:val="00F965F7"/>
    <w:rsid w:val="00FA04C9"/>
    <w:rsid w:val="00FA1D90"/>
    <w:rsid w:val="00FA1E48"/>
    <w:rsid w:val="00FA25FA"/>
    <w:rsid w:val="00FA309A"/>
    <w:rsid w:val="00FA4649"/>
    <w:rsid w:val="00FA4BB0"/>
    <w:rsid w:val="00FA5EFB"/>
    <w:rsid w:val="00FA6074"/>
    <w:rsid w:val="00FA7B8E"/>
    <w:rsid w:val="00FB02C6"/>
    <w:rsid w:val="00FB0810"/>
    <w:rsid w:val="00FB2D2B"/>
    <w:rsid w:val="00FB5C27"/>
    <w:rsid w:val="00FB66BA"/>
    <w:rsid w:val="00FB6E1F"/>
    <w:rsid w:val="00FB7193"/>
    <w:rsid w:val="00FC01D5"/>
    <w:rsid w:val="00FC0A23"/>
    <w:rsid w:val="00FC15F2"/>
    <w:rsid w:val="00FC1708"/>
    <w:rsid w:val="00FC236B"/>
    <w:rsid w:val="00FC2C59"/>
    <w:rsid w:val="00FC3741"/>
    <w:rsid w:val="00FC37EF"/>
    <w:rsid w:val="00FC45B5"/>
    <w:rsid w:val="00FC4B8A"/>
    <w:rsid w:val="00FC4FE8"/>
    <w:rsid w:val="00FC5ADE"/>
    <w:rsid w:val="00FC6717"/>
    <w:rsid w:val="00FC6CCE"/>
    <w:rsid w:val="00FC6D53"/>
    <w:rsid w:val="00FC7132"/>
    <w:rsid w:val="00FD0630"/>
    <w:rsid w:val="00FD0877"/>
    <w:rsid w:val="00FD11A9"/>
    <w:rsid w:val="00FD11EA"/>
    <w:rsid w:val="00FD1866"/>
    <w:rsid w:val="00FD1E4D"/>
    <w:rsid w:val="00FD22CC"/>
    <w:rsid w:val="00FD26EB"/>
    <w:rsid w:val="00FD3E68"/>
    <w:rsid w:val="00FD48C2"/>
    <w:rsid w:val="00FD5684"/>
    <w:rsid w:val="00FD5E92"/>
    <w:rsid w:val="00FD6B5F"/>
    <w:rsid w:val="00FE082E"/>
    <w:rsid w:val="00FE092E"/>
    <w:rsid w:val="00FE09CF"/>
    <w:rsid w:val="00FE38D5"/>
    <w:rsid w:val="00FE4ACF"/>
    <w:rsid w:val="00FE4B23"/>
    <w:rsid w:val="00FE4D4C"/>
    <w:rsid w:val="00FE4D9B"/>
    <w:rsid w:val="00FE559B"/>
    <w:rsid w:val="00FE5EF8"/>
    <w:rsid w:val="00FE64E6"/>
    <w:rsid w:val="00FE6CAA"/>
    <w:rsid w:val="00FE7A24"/>
    <w:rsid w:val="00FF0D5A"/>
    <w:rsid w:val="00FF0E28"/>
    <w:rsid w:val="00FF208D"/>
    <w:rsid w:val="00FF2B15"/>
    <w:rsid w:val="00FF3224"/>
    <w:rsid w:val="00FF3687"/>
    <w:rsid w:val="00FF3A06"/>
    <w:rsid w:val="00FF4F68"/>
    <w:rsid w:val="00FF5540"/>
    <w:rsid w:val="00FF6CD9"/>
    <w:rsid w:val="00FF7BB3"/>
    <w:rsid w:val="00FF7F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C1A8BA0"/>
  <w15:docId w15:val="{0836DDBF-2152-43FB-8D0F-7C47A4AE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D99"/>
    <w:rPr>
      <w:rFonts w:asciiTheme="minorHAnsi" w:hAnsiTheme="minorHAnsi" w:cs="Arial"/>
      <w:lang w:val="en-US" w:eastAsia="en-US"/>
    </w:rPr>
  </w:style>
  <w:style w:type="paragraph" w:styleId="Heading1">
    <w:name w:val="heading 1"/>
    <w:basedOn w:val="Normal"/>
    <w:next w:val="Normal"/>
    <w:qFormat/>
    <w:rsid w:val="00CD6D99"/>
    <w:pPr>
      <w:keepNext/>
      <w:outlineLvl w:val="0"/>
    </w:pPr>
    <w:rPr>
      <w:b/>
      <w:bCs/>
      <w:kern w:val="32"/>
      <w:sz w:val="36"/>
      <w:szCs w:val="32"/>
    </w:rPr>
  </w:style>
  <w:style w:type="paragraph" w:styleId="Heading2">
    <w:name w:val="heading 2"/>
    <w:basedOn w:val="Normal"/>
    <w:next w:val="Normal"/>
    <w:qFormat/>
    <w:rsid w:val="00CD6D99"/>
    <w:pPr>
      <w:keepNext/>
      <w:jc w:val="center"/>
      <w:outlineLvl w:val="1"/>
    </w:pPr>
    <w:rPr>
      <w:b/>
      <w:sz w:val="24"/>
      <w:szCs w:val="28"/>
    </w:rPr>
  </w:style>
  <w:style w:type="paragraph" w:styleId="Heading3">
    <w:name w:val="heading 3"/>
    <w:basedOn w:val="Normal"/>
    <w:next w:val="Normal"/>
    <w:qFormat/>
    <w:pPr>
      <w:keepNext/>
      <w:jc w:val="center"/>
      <w:outlineLvl w:val="2"/>
    </w:pPr>
    <w:rPr>
      <w:rFonts w:ascii="Times" w:hAnsi="Times"/>
      <w:b/>
      <w:outline/>
      <w:color w:val="FFFFFF" w:themeColor="background1"/>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4">
    <w:name w:val="heading 4"/>
    <w:basedOn w:val="Normal"/>
    <w:next w:val="Normal"/>
    <w:qFormat/>
    <w:rsid w:val="00CD6D99"/>
    <w:pPr>
      <w:keepNext/>
      <w:spacing w:after="60"/>
      <w:outlineLvl w:val="3"/>
    </w:pPr>
    <w:rPr>
      <w:sz w:val="32"/>
    </w:rPr>
  </w:style>
  <w:style w:type="paragraph" w:styleId="Heading5">
    <w:name w:val="heading 5"/>
    <w:basedOn w:val="Normal"/>
    <w:next w:val="Normal"/>
    <w:pPr>
      <w:keepNext/>
      <w:outlineLvl w:val="4"/>
    </w:pPr>
    <w:rPr>
      <w:sz w:val="48"/>
    </w:rPr>
  </w:style>
  <w:style w:type="paragraph" w:styleId="Heading6">
    <w:name w:val="heading 6"/>
    <w:basedOn w:val="Normal"/>
    <w:next w:val="Normal"/>
    <w:qFormat/>
    <w:rsid w:val="00CD6D99"/>
    <w:pPr>
      <w:keepNext/>
      <w:spacing w:after="6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BodyText">
    <w:name w:val="Body Text"/>
    <w:basedOn w:val="Normal"/>
    <w:link w:val="BodyTextCha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rsid w:val="003A797A"/>
    <w:pPr>
      <w:tabs>
        <w:tab w:val="center" w:pos="4320"/>
        <w:tab w:val="right" w:pos="8640"/>
      </w:tabs>
    </w:pPr>
    <w:rPr>
      <w:sz w:val="16"/>
    </w:rPr>
  </w:style>
  <w:style w:type="paragraph" w:styleId="BodyTextIndent2">
    <w:name w:val="Body Text Indent 2"/>
    <w:basedOn w:val="Normal"/>
    <w:pPr>
      <w:ind w:left="1440" w:hanging="1440"/>
    </w:pPr>
  </w:style>
  <w:style w:type="paragraph" w:styleId="BodyTextIndent3">
    <w:name w:val="Body Text Indent 3"/>
    <w:basedOn w:val="Normal"/>
    <w:pPr>
      <w:spacing w:after="120"/>
      <w:ind w:left="720" w:hanging="720"/>
    </w:pPr>
  </w:style>
  <w:style w:type="character" w:styleId="PageNumber">
    <w:name w:val="page number"/>
    <w:basedOn w:val="DefaultParagraphFont"/>
  </w:style>
  <w:style w:type="paragraph" w:styleId="BodyText2">
    <w:name w:val="Body Text 2"/>
    <w:basedOn w:val="Normal"/>
    <w:pPr>
      <w:autoSpaceDE w:val="0"/>
      <w:autoSpaceDN w:val="0"/>
      <w:adjustRightInd w:val="0"/>
      <w:jc w:val="center"/>
    </w:pPr>
    <w:rPr>
      <w:color w:val="000000"/>
      <w:sz w:val="44"/>
      <w:szCs w:val="44"/>
    </w:rPr>
  </w:style>
  <w:style w:type="table" w:styleId="TableGrid">
    <w:name w:val="Table Grid"/>
    <w:basedOn w:val="TableNormal"/>
    <w:rsid w:val="0077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631CB"/>
    <w:rPr>
      <w:color w:val="0000FF"/>
      <w:u w:val="single"/>
    </w:rPr>
  </w:style>
  <w:style w:type="character" w:styleId="FollowedHyperlink">
    <w:name w:val="FollowedHyperlink"/>
    <w:rsid w:val="009D32EA"/>
    <w:rPr>
      <w:color w:val="800080"/>
      <w:u w:val="single"/>
    </w:rPr>
  </w:style>
  <w:style w:type="paragraph" w:styleId="PlainText">
    <w:name w:val="Plain Text"/>
    <w:basedOn w:val="Normal"/>
    <w:rsid w:val="00D21045"/>
    <w:rPr>
      <w:rFonts w:ascii="Courier New" w:hAnsi="Courier New" w:cs="Courier New"/>
    </w:rPr>
  </w:style>
  <w:style w:type="paragraph" w:styleId="BalloonText">
    <w:name w:val="Balloon Text"/>
    <w:basedOn w:val="Normal"/>
    <w:semiHidden/>
    <w:rsid w:val="000D06ED"/>
    <w:rPr>
      <w:rFonts w:ascii="Tahoma" w:hAnsi="Tahoma" w:cs="Tahoma"/>
      <w:sz w:val="16"/>
      <w:szCs w:val="16"/>
    </w:rPr>
  </w:style>
  <w:style w:type="character" w:styleId="CommentReference">
    <w:name w:val="annotation reference"/>
    <w:uiPriority w:val="99"/>
    <w:rsid w:val="00EB2D46"/>
    <w:rPr>
      <w:sz w:val="16"/>
      <w:szCs w:val="16"/>
    </w:rPr>
  </w:style>
  <w:style w:type="paragraph" w:styleId="CommentText">
    <w:name w:val="annotation text"/>
    <w:basedOn w:val="Normal"/>
    <w:link w:val="CommentTextChar"/>
    <w:uiPriority w:val="99"/>
    <w:rsid w:val="00EB2D46"/>
  </w:style>
  <w:style w:type="paragraph" w:styleId="CommentSubject">
    <w:name w:val="annotation subject"/>
    <w:basedOn w:val="CommentText"/>
    <w:next w:val="CommentText"/>
    <w:semiHidden/>
    <w:rsid w:val="00EB2D46"/>
    <w:rPr>
      <w:b/>
      <w:bCs/>
    </w:rPr>
  </w:style>
  <w:style w:type="paragraph" w:styleId="FootnoteText">
    <w:name w:val="footnote text"/>
    <w:basedOn w:val="Normal"/>
    <w:semiHidden/>
    <w:rsid w:val="00C95400"/>
    <w:pPr>
      <w:spacing w:after="200" w:line="276" w:lineRule="auto"/>
    </w:pPr>
    <w:rPr>
      <w:rFonts w:eastAsia="Calibri"/>
      <w:lang w:val="en-CA"/>
    </w:rPr>
  </w:style>
  <w:style w:type="character" w:customStyle="1" w:styleId="BodyTextChar">
    <w:name w:val="Body Text Char"/>
    <w:basedOn w:val="DefaultParagraphFont"/>
    <w:link w:val="BodyText"/>
    <w:rsid w:val="009F17F0"/>
    <w:rPr>
      <w:rFonts w:ascii="Arial" w:hAnsi="Arial" w:cs="Arial"/>
      <w:lang w:val="en-US" w:eastAsia="en-US"/>
    </w:rPr>
  </w:style>
  <w:style w:type="character" w:customStyle="1" w:styleId="BodyTextIndentChar">
    <w:name w:val="Body Text Indent Char"/>
    <w:basedOn w:val="DefaultParagraphFont"/>
    <w:link w:val="BodyTextIndent"/>
    <w:rsid w:val="009F17F0"/>
    <w:rPr>
      <w:rFonts w:ascii="Arial" w:hAnsi="Arial" w:cs="Arial"/>
      <w:lang w:val="en-US" w:eastAsia="en-US"/>
    </w:rPr>
  </w:style>
  <w:style w:type="paragraph" w:styleId="ListBullet">
    <w:name w:val="List Bullet"/>
    <w:basedOn w:val="Normal"/>
    <w:qFormat/>
    <w:rsid w:val="00CD6D99"/>
    <w:pPr>
      <w:numPr>
        <w:numId w:val="3"/>
      </w:numPr>
      <w:contextualSpacing/>
    </w:pPr>
  </w:style>
  <w:style w:type="numbering" w:customStyle="1" w:styleId="ListBullets">
    <w:name w:val="ListBullets"/>
    <w:uiPriority w:val="99"/>
    <w:rsid w:val="00227492"/>
  </w:style>
  <w:style w:type="paragraph" w:styleId="ListBullet2">
    <w:name w:val="List Bullet 2"/>
    <w:basedOn w:val="Normal"/>
    <w:qFormat/>
    <w:rsid w:val="00CD6D99"/>
    <w:pPr>
      <w:numPr>
        <w:numId w:val="1"/>
      </w:numPr>
      <w:contextualSpacing/>
    </w:pPr>
  </w:style>
  <w:style w:type="paragraph" w:styleId="ListBullet3">
    <w:name w:val="List Bullet 3"/>
    <w:basedOn w:val="Normal"/>
    <w:qFormat/>
    <w:rsid w:val="00CD6D99"/>
    <w:pPr>
      <w:numPr>
        <w:numId w:val="2"/>
      </w:numPr>
      <w:contextualSpacing/>
    </w:pPr>
  </w:style>
  <w:style w:type="paragraph" w:styleId="ListBullet4">
    <w:name w:val="List Bullet 4"/>
    <w:basedOn w:val="Normal"/>
    <w:qFormat/>
    <w:rsid w:val="00CD6D99"/>
    <w:pPr>
      <w:numPr>
        <w:ilvl w:val="3"/>
        <w:numId w:val="3"/>
      </w:numPr>
      <w:contextualSpacing/>
    </w:pPr>
  </w:style>
  <w:style w:type="paragraph" w:styleId="ListBullet5">
    <w:name w:val="List Bullet 5"/>
    <w:basedOn w:val="Normal"/>
    <w:rsid w:val="00227492"/>
    <w:pPr>
      <w:contextualSpacing/>
    </w:pPr>
  </w:style>
  <w:style w:type="paragraph" w:styleId="ListParagraph">
    <w:name w:val="List Paragraph"/>
    <w:basedOn w:val="Normal"/>
    <w:link w:val="ListParagraphChar"/>
    <w:uiPriority w:val="34"/>
    <w:qFormat/>
    <w:rsid w:val="00784035"/>
    <w:pPr>
      <w:ind w:left="720"/>
      <w:contextualSpacing/>
    </w:pPr>
  </w:style>
  <w:style w:type="character" w:customStyle="1" w:styleId="HeaderChar">
    <w:name w:val="Header Char"/>
    <w:basedOn w:val="DefaultParagraphFont"/>
    <w:link w:val="Header"/>
    <w:uiPriority w:val="99"/>
    <w:rsid w:val="00CC5B64"/>
    <w:rPr>
      <w:rFonts w:asciiTheme="minorHAnsi" w:hAnsiTheme="minorHAnsi" w:cs="Arial"/>
      <w:lang w:val="en-US" w:eastAsia="en-US"/>
    </w:rPr>
  </w:style>
  <w:style w:type="character" w:customStyle="1" w:styleId="CommentTextChar">
    <w:name w:val="Comment Text Char"/>
    <w:basedOn w:val="DefaultParagraphFont"/>
    <w:link w:val="CommentText"/>
    <w:uiPriority w:val="99"/>
    <w:rsid w:val="00392FAE"/>
    <w:rPr>
      <w:rFonts w:asciiTheme="minorHAnsi" w:hAnsiTheme="minorHAnsi" w:cs="Arial"/>
      <w:lang w:val="en-US" w:eastAsia="en-US"/>
    </w:rPr>
  </w:style>
  <w:style w:type="character" w:styleId="PlaceholderText">
    <w:name w:val="Placeholder Text"/>
    <w:basedOn w:val="DefaultParagraphFont"/>
    <w:uiPriority w:val="99"/>
    <w:semiHidden/>
    <w:rsid w:val="00F10B47"/>
    <w:rPr>
      <w:color w:val="808080"/>
    </w:rPr>
  </w:style>
  <w:style w:type="paragraph" w:styleId="NormalWeb">
    <w:name w:val="Normal (Web)"/>
    <w:basedOn w:val="Normal"/>
    <w:uiPriority w:val="99"/>
    <w:unhideWhenUsed/>
    <w:rsid w:val="00FB0810"/>
    <w:pPr>
      <w:spacing w:before="100" w:beforeAutospacing="1" w:after="100" w:afterAutospacing="1"/>
    </w:pPr>
    <w:rPr>
      <w:rFonts w:ascii="Times New Roman" w:hAnsi="Times New Roman" w:cs="Times New Roman"/>
      <w:sz w:val="24"/>
      <w:szCs w:val="24"/>
      <w:lang w:val="en-CA" w:eastAsia="en-CA"/>
    </w:rPr>
  </w:style>
  <w:style w:type="character" w:customStyle="1" w:styleId="FooterChar">
    <w:name w:val="Footer Char"/>
    <w:basedOn w:val="DefaultParagraphFont"/>
    <w:link w:val="Footer"/>
    <w:uiPriority w:val="99"/>
    <w:rsid w:val="00FB0810"/>
    <w:rPr>
      <w:rFonts w:asciiTheme="minorHAnsi" w:hAnsiTheme="minorHAnsi" w:cs="Arial"/>
      <w:sz w:val="16"/>
      <w:lang w:val="en-US" w:eastAsia="en-US"/>
    </w:rPr>
  </w:style>
  <w:style w:type="character" w:customStyle="1" w:styleId="subhead">
    <w:name w:val="subhead"/>
    <w:uiPriority w:val="99"/>
    <w:rsid w:val="008337E1"/>
    <w:rPr>
      <w:rFonts w:ascii="Arial" w:hAnsi="Arial"/>
      <w:b w:val="0"/>
      <w:i w:val="0"/>
      <w:color w:val="3A4F5A"/>
      <w:sz w:val="36"/>
      <w:szCs w:val="36"/>
    </w:rPr>
  </w:style>
  <w:style w:type="paragraph" w:customStyle="1" w:styleId="Heading40">
    <w:name w:val="Heading4"/>
    <w:basedOn w:val="Heading3"/>
    <w:link w:val="Heading4Char"/>
    <w:qFormat/>
    <w:rsid w:val="00340F51"/>
    <w:pPr>
      <w:widowControl w:val="0"/>
      <w:autoSpaceDE w:val="0"/>
      <w:autoSpaceDN w:val="0"/>
      <w:adjustRightInd w:val="0"/>
      <w:spacing w:before="240" w:after="60" w:line="288" w:lineRule="auto"/>
      <w:ind w:left="1728" w:right="476" w:hanging="648"/>
      <w:jc w:val="left"/>
      <w:textAlignment w:val="center"/>
    </w:pPr>
    <w:rPr>
      <w:rFonts w:ascii="Arial" w:eastAsia="MS PGothic" w:hAnsi="Arial" w:cs="Times New Roman"/>
      <w:b w:val="0"/>
      <w:bCs/>
      <w:i/>
      <w:iCs/>
      <w:outline w:val="0"/>
      <w:color w:val="004C97"/>
      <w:sz w:val="22"/>
      <w:szCs w:val="26"/>
      <w:lang w:val="en-GB"/>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4Char">
    <w:name w:val="Heading4 Char"/>
    <w:link w:val="Heading40"/>
    <w:rsid w:val="00340F51"/>
    <w:rPr>
      <w:rFonts w:ascii="Arial" w:eastAsia="MS PGothic" w:hAnsi="Arial"/>
      <w:bCs/>
      <w:i/>
      <w:iCs/>
      <w:color w:val="004C97"/>
      <w:sz w:val="22"/>
      <w:szCs w:val="26"/>
      <w:lang w:val="en-GB" w:eastAsia="en-US"/>
    </w:rPr>
  </w:style>
  <w:style w:type="table" w:customStyle="1" w:styleId="LightList-Accent11">
    <w:name w:val="Light List - Accent 11"/>
    <w:basedOn w:val="TableNormal"/>
    <w:uiPriority w:val="61"/>
    <w:rsid w:val="00EA2E25"/>
    <w:rPr>
      <w:lang w:val="en-GB" w:eastAsia="en-GB"/>
    </w:rPr>
    <w:tblPr>
      <w:tblStyleRowBandSize w:val="1"/>
      <w:tblStyleColBandSize w:val="1"/>
      <w:tblBorders>
        <w:top w:val="single" w:sz="8" w:space="0" w:color="32B5FC"/>
        <w:left w:val="single" w:sz="8" w:space="0" w:color="32B5FC"/>
        <w:bottom w:val="single" w:sz="8" w:space="0" w:color="32B5FC"/>
        <w:right w:val="single" w:sz="8" w:space="0" w:color="32B5FC"/>
      </w:tblBorders>
    </w:tblPr>
    <w:tblStylePr w:type="firstRow">
      <w:pPr>
        <w:spacing w:before="0" w:after="0" w:line="240" w:lineRule="auto"/>
      </w:pPr>
      <w:rPr>
        <w:b/>
        <w:bCs/>
        <w:color w:val="FFFFFF"/>
      </w:rPr>
      <w:tblPr/>
      <w:tcPr>
        <w:shd w:val="clear" w:color="auto" w:fill="32B5FC"/>
      </w:tcPr>
    </w:tblStylePr>
    <w:tblStylePr w:type="lastRow">
      <w:pPr>
        <w:spacing w:before="0" w:after="0" w:line="240" w:lineRule="auto"/>
      </w:pPr>
      <w:rPr>
        <w:b/>
        <w:bCs/>
      </w:rPr>
      <w:tblPr/>
      <w:tcPr>
        <w:tcBorders>
          <w:top w:val="double" w:sz="6" w:space="0" w:color="32B5FC"/>
          <w:left w:val="single" w:sz="8" w:space="0" w:color="32B5FC"/>
          <w:bottom w:val="single" w:sz="8" w:space="0" w:color="32B5FC"/>
          <w:right w:val="single" w:sz="8" w:space="0" w:color="32B5FC"/>
        </w:tcBorders>
      </w:tcPr>
    </w:tblStylePr>
    <w:tblStylePr w:type="firstCol">
      <w:rPr>
        <w:b/>
        <w:bCs/>
      </w:rPr>
    </w:tblStylePr>
    <w:tblStylePr w:type="lastCol">
      <w:rPr>
        <w:b/>
        <w:bCs/>
      </w:rPr>
    </w:tblStylePr>
    <w:tblStylePr w:type="band1Vert">
      <w:tblPr/>
      <w:tcPr>
        <w:tcBorders>
          <w:top w:val="single" w:sz="8" w:space="0" w:color="32B5FC"/>
          <w:left w:val="single" w:sz="8" w:space="0" w:color="32B5FC"/>
          <w:bottom w:val="single" w:sz="8" w:space="0" w:color="32B5FC"/>
          <w:right w:val="single" w:sz="8" w:space="0" w:color="32B5FC"/>
        </w:tcBorders>
      </w:tcPr>
    </w:tblStylePr>
    <w:tblStylePr w:type="band1Horz">
      <w:tblPr/>
      <w:tcPr>
        <w:tcBorders>
          <w:top w:val="single" w:sz="8" w:space="0" w:color="32B5FC"/>
          <w:left w:val="single" w:sz="8" w:space="0" w:color="32B5FC"/>
          <w:bottom w:val="single" w:sz="8" w:space="0" w:color="32B5FC"/>
          <w:right w:val="single" w:sz="8" w:space="0" w:color="32B5FC"/>
        </w:tcBorders>
      </w:tcPr>
    </w:tblStylePr>
  </w:style>
  <w:style w:type="paragraph" w:styleId="Caption">
    <w:name w:val="caption"/>
    <w:next w:val="BodyText"/>
    <w:qFormat/>
    <w:rsid w:val="00EA2E25"/>
    <w:pPr>
      <w:spacing w:before="120" w:after="120"/>
      <w:jc w:val="center"/>
      <w:outlineLvl w:val="8"/>
    </w:pPr>
    <w:rPr>
      <w:rFonts w:ascii="Georgia" w:hAnsi="Georgia"/>
      <w:b/>
      <w:bCs/>
      <w:color w:val="000000"/>
      <w:lang w:val="en-US" w:eastAsia="en-US"/>
    </w:rPr>
  </w:style>
  <w:style w:type="character" w:customStyle="1" w:styleId="ListParagraphChar">
    <w:name w:val="List Paragraph Char"/>
    <w:basedOn w:val="DefaultParagraphFont"/>
    <w:link w:val="ListParagraph"/>
    <w:uiPriority w:val="34"/>
    <w:locked/>
    <w:rsid w:val="001E1B8F"/>
    <w:rPr>
      <w:rFonts w:asciiTheme="minorHAnsi" w:hAnsiTheme="minorHAnsi" w:cs="Arial"/>
      <w:lang w:val="en-US" w:eastAsia="en-US"/>
    </w:rPr>
  </w:style>
  <w:style w:type="paragraph" w:customStyle="1" w:styleId="Noparagraphstyle">
    <w:name w:val="[No paragraph style]"/>
    <w:link w:val="NoparagraphstyleChar"/>
    <w:rsid w:val="00D55C4A"/>
    <w:pPr>
      <w:widowControl w:val="0"/>
      <w:autoSpaceDE w:val="0"/>
      <w:autoSpaceDN w:val="0"/>
      <w:adjustRightInd w:val="0"/>
      <w:spacing w:after="120" w:line="288" w:lineRule="auto"/>
      <w:textAlignment w:val="center"/>
    </w:pPr>
    <w:rPr>
      <w:rFonts w:ascii="Verdana" w:hAnsi="Verdana"/>
      <w:color w:val="000000"/>
      <w:sz w:val="21"/>
      <w:lang w:val="en-US" w:eastAsia="en-US"/>
    </w:rPr>
  </w:style>
  <w:style w:type="character" w:customStyle="1" w:styleId="NoparagraphstyleChar">
    <w:name w:val="[No paragraph style] Char"/>
    <w:link w:val="Noparagraphstyle"/>
    <w:rsid w:val="00D55C4A"/>
    <w:rPr>
      <w:rFonts w:ascii="Verdana" w:hAnsi="Verdana"/>
      <w:color w:val="000000"/>
      <w:sz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759369">
      <w:bodyDiv w:val="1"/>
      <w:marLeft w:val="0"/>
      <w:marRight w:val="0"/>
      <w:marTop w:val="0"/>
      <w:marBottom w:val="0"/>
      <w:divBdr>
        <w:top w:val="none" w:sz="0" w:space="0" w:color="auto"/>
        <w:left w:val="none" w:sz="0" w:space="0" w:color="auto"/>
        <w:bottom w:val="none" w:sz="0" w:space="0" w:color="auto"/>
        <w:right w:val="none" w:sz="0" w:space="0" w:color="auto"/>
      </w:divBdr>
    </w:div>
    <w:div w:id="496308579">
      <w:bodyDiv w:val="1"/>
      <w:marLeft w:val="0"/>
      <w:marRight w:val="0"/>
      <w:marTop w:val="0"/>
      <w:marBottom w:val="0"/>
      <w:divBdr>
        <w:top w:val="none" w:sz="0" w:space="0" w:color="auto"/>
        <w:left w:val="none" w:sz="0" w:space="0" w:color="auto"/>
        <w:bottom w:val="none" w:sz="0" w:space="0" w:color="auto"/>
        <w:right w:val="none" w:sz="0" w:space="0" w:color="auto"/>
      </w:divBdr>
    </w:div>
    <w:div w:id="532767267">
      <w:bodyDiv w:val="1"/>
      <w:marLeft w:val="0"/>
      <w:marRight w:val="0"/>
      <w:marTop w:val="0"/>
      <w:marBottom w:val="0"/>
      <w:divBdr>
        <w:top w:val="none" w:sz="0" w:space="0" w:color="auto"/>
        <w:left w:val="none" w:sz="0" w:space="0" w:color="auto"/>
        <w:bottom w:val="none" w:sz="0" w:space="0" w:color="auto"/>
        <w:right w:val="none" w:sz="0" w:space="0" w:color="auto"/>
      </w:divBdr>
    </w:div>
    <w:div w:id="553858475">
      <w:bodyDiv w:val="1"/>
      <w:marLeft w:val="0"/>
      <w:marRight w:val="0"/>
      <w:marTop w:val="0"/>
      <w:marBottom w:val="0"/>
      <w:divBdr>
        <w:top w:val="none" w:sz="0" w:space="0" w:color="auto"/>
        <w:left w:val="none" w:sz="0" w:space="0" w:color="auto"/>
        <w:bottom w:val="none" w:sz="0" w:space="0" w:color="auto"/>
        <w:right w:val="none" w:sz="0" w:space="0" w:color="auto"/>
      </w:divBdr>
    </w:div>
    <w:div w:id="603729667">
      <w:bodyDiv w:val="1"/>
      <w:marLeft w:val="0"/>
      <w:marRight w:val="0"/>
      <w:marTop w:val="0"/>
      <w:marBottom w:val="0"/>
      <w:divBdr>
        <w:top w:val="none" w:sz="0" w:space="0" w:color="auto"/>
        <w:left w:val="none" w:sz="0" w:space="0" w:color="auto"/>
        <w:bottom w:val="none" w:sz="0" w:space="0" w:color="auto"/>
        <w:right w:val="none" w:sz="0" w:space="0" w:color="auto"/>
      </w:divBdr>
      <w:divsChild>
        <w:div w:id="487400892">
          <w:marLeft w:val="0"/>
          <w:marRight w:val="0"/>
          <w:marTop w:val="0"/>
          <w:marBottom w:val="0"/>
          <w:divBdr>
            <w:top w:val="none" w:sz="0" w:space="0" w:color="auto"/>
            <w:left w:val="none" w:sz="0" w:space="0" w:color="auto"/>
            <w:bottom w:val="none" w:sz="0" w:space="0" w:color="auto"/>
            <w:right w:val="none" w:sz="0" w:space="0" w:color="auto"/>
          </w:divBdr>
        </w:div>
      </w:divsChild>
    </w:div>
    <w:div w:id="607084626">
      <w:bodyDiv w:val="1"/>
      <w:marLeft w:val="0"/>
      <w:marRight w:val="0"/>
      <w:marTop w:val="0"/>
      <w:marBottom w:val="0"/>
      <w:divBdr>
        <w:top w:val="none" w:sz="0" w:space="0" w:color="auto"/>
        <w:left w:val="none" w:sz="0" w:space="0" w:color="auto"/>
        <w:bottom w:val="none" w:sz="0" w:space="0" w:color="auto"/>
        <w:right w:val="none" w:sz="0" w:space="0" w:color="auto"/>
      </w:divBdr>
    </w:div>
    <w:div w:id="654141036">
      <w:bodyDiv w:val="1"/>
      <w:marLeft w:val="0"/>
      <w:marRight w:val="0"/>
      <w:marTop w:val="0"/>
      <w:marBottom w:val="0"/>
      <w:divBdr>
        <w:top w:val="none" w:sz="0" w:space="0" w:color="auto"/>
        <w:left w:val="none" w:sz="0" w:space="0" w:color="auto"/>
        <w:bottom w:val="none" w:sz="0" w:space="0" w:color="auto"/>
        <w:right w:val="none" w:sz="0" w:space="0" w:color="auto"/>
      </w:divBdr>
      <w:divsChild>
        <w:div w:id="1401439253">
          <w:marLeft w:val="0"/>
          <w:marRight w:val="0"/>
          <w:marTop w:val="0"/>
          <w:marBottom w:val="0"/>
          <w:divBdr>
            <w:top w:val="none" w:sz="0" w:space="0" w:color="auto"/>
            <w:left w:val="none" w:sz="0" w:space="0" w:color="auto"/>
            <w:bottom w:val="none" w:sz="0" w:space="0" w:color="auto"/>
            <w:right w:val="none" w:sz="0" w:space="0" w:color="auto"/>
          </w:divBdr>
        </w:div>
      </w:divsChild>
    </w:div>
    <w:div w:id="701129525">
      <w:bodyDiv w:val="1"/>
      <w:marLeft w:val="0"/>
      <w:marRight w:val="0"/>
      <w:marTop w:val="0"/>
      <w:marBottom w:val="0"/>
      <w:divBdr>
        <w:top w:val="none" w:sz="0" w:space="0" w:color="auto"/>
        <w:left w:val="none" w:sz="0" w:space="0" w:color="auto"/>
        <w:bottom w:val="none" w:sz="0" w:space="0" w:color="auto"/>
        <w:right w:val="none" w:sz="0" w:space="0" w:color="auto"/>
      </w:divBdr>
    </w:div>
    <w:div w:id="733237666">
      <w:bodyDiv w:val="1"/>
      <w:marLeft w:val="0"/>
      <w:marRight w:val="0"/>
      <w:marTop w:val="0"/>
      <w:marBottom w:val="0"/>
      <w:divBdr>
        <w:top w:val="none" w:sz="0" w:space="0" w:color="auto"/>
        <w:left w:val="none" w:sz="0" w:space="0" w:color="auto"/>
        <w:bottom w:val="none" w:sz="0" w:space="0" w:color="auto"/>
        <w:right w:val="none" w:sz="0" w:space="0" w:color="auto"/>
      </w:divBdr>
    </w:div>
    <w:div w:id="756633326">
      <w:bodyDiv w:val="1"/>
      <w:marLeft w:val="0"/>
      <w:marRight w:val="0"/>
      <w:marTop w:val="0"/>
      <w:marBottom w:val="0"/>
      <w:divBdr>
        <w:top w:val="none" w:sz="0" w:space="0" w:color="auto"/>
        <w:left w:val="none" w:sz="0" w:space="0" w:color="auto"/>
        <w:bottom w:val="none" w:sz="0" w:space="0" w:color="auto"/>
        <w:right w:val="none" w:sz="0" w:space="0" w:color="auto"/>
      </w:divBdr>
    </w:div>
    <w:div w:id="1038239581">
      <w:bodyDiv w:val="1"/>
      <w:marLeft w:val="0"/>
      <w:marRight w:val="0"/>
      <w:marTop w:val="0"/>
      <w:marBottom w:val="0"/>
      <w:divBdr>
        <w:top w:val="none" w:sz="0" w:space="0" w:color="auto"/>
        <w:left w:val="none" w:sz="0" w:space="0" w:color="auto"/>
        <w:bottom w:val="none" w:sz="0" w:space="0" w:color="auto"/>
        <w:right w:val="none" w:sz="0" w:space="0" w:color="auto"/>
      </w:divBdr>
    </w:div>
    <w:div w:id="1091201973">
      <w:bodyDiv w:val="1"/>
      <w:marLeft w:val="0"/>
      <w:marRight w:val="0"/>
      <w:marTop w:val="0"/>
      <w:marBottom w:val="0"/>
      <w:divBdr>
        <w:top w:val="none" w:sz="0" w:space="0" w:color="auto"/>
        <w:left w:val="none" w:sz="0" w:space="0" w:color="auto"/>
        <w:bottom w:val="none" w:sz="0" w:space="0" w:color="auto"/>
        <w:right w:val="none" w:sz="0" w:space="0" w:color="auto"/>
      </w:divBdr>
    </w:div>
    <w:div w:id="1130828631">
      <w:bodyDiv w:val="1"/>
      <w:marLeft w:val="0"/>
      <w:marRight w:val="0"/>
      <w:marTop w:val="0"/>
      <w:marBottom w:val="0"/>
      <w:divBdr>
        <w:top w:val="none" w:sz="0" w:space="0" w:color="auto"/>
        <w:left w:val="none" w:sz="0" w:space="0" w:color="auto"/>
        <w:bottom w:val="none" w:sz="0" w:space="0" w:color="auto"/>
        <w:right w:val="none" w:sz="0" w:space="0" w:color="auto"/>
      </w:divBdr>
    </w:div>
    <w:div w:id="1157913550">
      <w:bodyDiv w:val="1"/>
      <w:marLeft w:val="0"/>
      <w:marRight w:val="0"/>
      <w:marTop w:val="0"/>
      <w:marBottom w:val="0"/>
      <w:divBdr>
        <w:top w:val="none" w:sz="0" w:space="0" w:color="auto"/>
        <w:left w:val="none" w:sz="0" w:space="0" w:color="auto"/>
        <w:bottom w:val="none" w:sz="0" w:space="0" w:color="auto"/>
        <w:right w:val="none" w:sz="0" w:space="0" w:color="auto"/>
      </w:divBdr>
    </w:div>
    <w:div w:id="1189875266">
      <w:bodyDiv w:val="1"/>
      <w:marLeft w:val="0"/>
      <w:marRight w:val="0"/>
      <w:marTop w:val="0"/>
      <w:marBottom w:val="0"/>
      <w:divBdr>
        <w:top w:val="none" w:sz="0" w:space="0" w:color="auto"/>
        <w:left w:val="none" w:sz="0" w:space="0" w:color="auto"/>
        <w:bottom w:val="none" w:sz="0" w:space="0" w:color="auto"/>
        <w:right w:val="none" w:sz="0" w:space="0" w:color="auto"/>
      </w:divBdr>
    </w:div>
    <w:div w:id="1256399148">
      <w:bodyDiv w:val="1"/>
      <w:marLeft w:val="0"/>
      <w:marRight w:val="0"/>
      <w:marTop w:val="0"/>
      <w:marBottom w:val="0"/>
      <w:divBdr>
        <w:top w:val="none" w:sz="0" w:space="0" w:color="auto"/>
        <w:left w:val="none" w:sz="0" w:space="0" w:color="auto"/>
        <w:bottom w:val="none" w:sz="0" w:space="0" w:color="auto"/>
        <w:right w:val="none" w:sz="0" w:space="0" w:color="auto"/>
      </w:divBdr>
    </w:div>
    <w:div w:id="1306659975">
      <w:bodyDiv w:val="1"/>
      <w:marLeft w:val="0"/>
      <w:marRight w:val="0"/>
      <w:marTop w:val="0"/>
      <w:marBottom w:val="0"/>
      <w:divBdr>
        <w:top w:val="none" w:sz="0" w:space="0" w:color="auto"/>
        <w:left w:val="none" w:sz="0" w:space="0" w:color="auto"/>
        <w:bottom w:val="none" w:sz="0" w:space="0" w:color="auto"/>
        <w:right w:val="none" w:sz="0" w:space="0" w:color="auto"/>
      </w:divBdr>
    </w:div>
    <w:div w:id="1309745308">
      <w:bodyDiv w:val="1"/>
      <w:marLeft w:val="0"/>
      <w:marRight w:val="0"/>
      <w:marTop w:val="0"/>
      <w:marBottom w:val="0"/>
      <w:divBdr>
        <w:top w:val="none" w:sz="0" w:space="0" w:color="auto"/>
        <w:left w:val="none" w:sz="0" w:space="0" w:color="auto"/>
        <w:bottom w:val="none" w:sz="0" w:space="0" w:color="auto"/>
        <w:right w:val="none" w:sz="0" w:space="0" w:color="auto"/>
      </w:divBdr>
    </w:div>
    <w:div w:id="1347512726">
      <w:bodyDiv w:val="1"/>
      <w:marLeft w:val="0"/>
      <w:marRight w:val="0"/>
      <w:marTop w:val="0"/>
      <w:marBottom w:val="0"/>
      <w:divBdr>
        <w:top w:val="none" w:sz="0" w:space="0" w:color="auto"/>
        <w:left w:val="none" w:sz="0" w:space="0" w:color="auto"/>
        <w:bottom w:val="none" w:sz="0" w:space="0" w:color="auto"/>
        <w:right w:val="none" w:sz="0" w:space="0" w:color="auto"/>
      </w:divBdr>
      <w:divsChild>
        <w:div w:id="1730030810">
          <w:marLeft w:val="0"/>
          <w:marRight w:val="0"/>
          <w:marTop w:val="0"/>
          <w:marBottom w:val="0"/>
          <w:divBdr>
            <w:top w:val="none" w:sz="0" w:space="0" w:color="auto"/>
            <w:left w:val="none" w:sz="0" w:space="0" w:color="auto"/>
            <w:bottom w:val="none" w:sz="0" w:space="0" w:color="auto"/>
            <w:right w:val="none" w:sz="0" w:space="0" w:color="auto"/>
          </w:divBdr>
        </w:div>
      </w:divsChild>
    </w:div>
    <w:div w:id="1367215276">
      <w:bodyDiv w:val="1"/>
      <w:marLeft w:val="0"/>
      <w:marRight w:val="0"/>
      <w:marTop w:val="0"/>
      <w:marBottom w:val="0"/>
      <w:divBdr>
        <w:top w:val="none" w:sz="0" w:space="0" w:color="auto"/>
        <w:left w:val="none" w:sz="0" w:space="0" w:color="auto"/>
        <w:bottom w:val="none" w:sz="0" w:space="0" w:color="auto"/>
        <w:right w:val="none" w:sz="0" w:space="0" w:color="auto"/>
      </w:divBdr>
    </w:div>
    <w:div w:id="1546718128">
      <w:bodyDiv w:val="1"/>
      <w:marLeft w:val="0"/>
      <w:marRight w:val="0"/>
      <w:marTop w:val="0"/>
      <w:marBottom w:val="0"/>
      <w:divBdr>
        <w:top w:val="none" w:sz="0" w:space="0" w:color="auto"/>
        <w:left w:val="none" w:sz="0" w:space="0" w:color="auto"/>
        <w:bottom w:val="none" w:sz="0" w:space="0" w:color="auto"/>
        <w:right w:val="none" w:sz="0" w:space="0" w:color="auto"/>
      </w:divBdr>
    </w:div>
    <w:div w:id="1562785613">
      <w:bodyDiv w:val="1"/>
      <w:marLeft w:val="0"/>
      <w:marRight w:val="0"/>
      <w:marTop w:val="0"/>
      <w:marBottom w:val="0"/>
      <w:divBdr>
        <w:top w:val="none" w:sz="0" w:space="0" w:color="auto"/>
        <w:left w:val="none" w:sz="0" w:space="0" w:color="auto"/>
        <w:bottom w:val="none" w:sz="0" w:space="0" w:color="auto"/>
        <w:right w:val="none" w:sz="0" w:space="0" w:color="auto"/>
      </w:divBdr>
    </w:div>
    <w:div w:id="1578127762">
      <w:bodyDiv w:val="1"/>
      <w:marLeft w:val="0"/>
      <w:marRight w:val="0"/>
      <w:marTop w:val="0"/>
      <w:marBottom w:val="0"/>
      <w:divBdr>
        <w:top w:val="none" w:sz="0" w:space="0" w:color="auto"/>
        <w:left w:val="none" w:sz="0" w:space="0" w:color="auto"/>
        <w:bottom w:val="none" w:sz="0" w:space="0" w:color="auto"/>
        <w:right w:val="none" w:sz="0" w:space="0" w:color="auto"/>
      </w:divBdr>
    </w:div>
    <w:div w:id="1637947495">
      <w:bodyDiv w:val="1"/>
      <w:marLeft w:val="0"/>
      <w:marRight w:val="0"/>
      <w:marTop w:val="0"/>
      <w:marBottom w:val="0"/>
      <w:divBdr>
        <w:top w:val="none" w:sz="0" w:space="0" w:color="auto"/>
        <w:left w:val="none" w:sz="0" w:space="0" w:color="auto"/>
        <w:bottom w:val="none" w:sz="0" w:space="0" w:color="auto"/>
        <w:right w:val="none" w:sz="0" w:space="0" w:color="auto"/>
      </w:divBdr>
    </w:div>
    <w:div w:id="1746606577">
      <w:bodyDiv w:val="1"/>
      <w:marLeft w:val="0"/>
      <w:marRight w:val="0"/>
      <w:marTop w:val="0"/>
      <w:marBottom w:val="0"/>
      <w:divBdr>
        <w:top w:val="none" w:sz="0" w:space="0" w:color="auto"/>
        <w:left w:val="none" w:sz="0" w:space="0" w:color="auto"/>
        <w:bottom w:val="none" w:sz="0" w:space="0" w:color="auto"/>
        <w:right w:val="none" w:sz="0" w:space="0" w:color="auto"/>
      </w:divBdr>
    </w:div>
    <w:div w:id="1766075950">
      <w:bodyDiv w:val="1"/>
      <w:marLeft w:val="0"/>
      <w:marRight w:val="0"/>
      <w:marTop w:val="0"/>
      <w:marBottom w:val="0"/>
      <w:divBdr>
        <w:top w:val="none" w:sz="0" w:space="0" w:color="auto"/>
        <w:left w:val="none" w:sz="0" w:space="0" w:color="auto"/>
        <w:bottom w:val="none" w:sz="0" w:space="0" w:color="auto"/>
        <w:right w:val="none" w:sz="0" w:space="0" w:color="auto"/>
      </w:divBdr>
    </w:div>
    <w:div w:id="1790708220">
      <w:bodyDiv w:val="1"/>
      <w:marLeft w:val="0"/>
      <w:marRight w:val="0"/>
      <w:marTop w:val="0"/>
      <w:marBottom w:val="0"/>
      <w:divBdr>
        <w:top w:val="none" w:sz="0" w:space="0" w:color="auto"/>
        <w:left w:val="none" w:sz="0" w:space="0" w:color="auto"/>
        <w:bottom w:val="none" w:sz="0" w:space="0" w:color="auto"/>
        <w:right w:val="none" w:sz="0" w:space="0" w:color="auto"/>
      </w:divBdr>
    </w:div>
    <w:div w:id="1799181120">
      <w:bodyDiv w:val="1"/>
      <w:marLeft w:val="0"/>
      <w:marRight w:val="0"/>
      <w:marTop w:val="0"/>
      <w:marBottom w:val="0"/>
      <w:divBdr>
        <w:top w:val="none" w:sz="0" w:space="0" w:color="auto"/>
        <w:left w:val="none" w:sz="0" w:space="0" w:color="auto"/>
        <w:bottom w:val="none" w:sz="0" w:space="0" w:color="auto"/>
        <w:right w:val="none" w:sz="0" w:space="0" w:color="auto"/>
      </w:divBdr>
    </w:div>
    <w:div w:id="1873688142">
      <w:bodyDiv w:val="1"/>
      <w:marLeft w:val="0"/>
      <w:marRight w:val="0"/>
      <w:marTop w:val="0"/>
      <w:marBottom w:val="0"/>
      <w:divBdr>
        <w:top w:val="none" w:sz="0" w:space="0" w:color="auto"/>
        <w:left w:val="none" w:sz="0" w:space="0" w:color="auto"/>
        <w:bottom w:val="none" w:sz="0" w:space="0" w:color="auto"/>
        <w:right w:val="none" w:sz="0" w:space="0" w:color="auto"/>
      </w:divBdr>
    </w:div>
    <w:div w:id="1885943405">
      <w:bodyDiv w:val="1"/>
      <w:marLeft w:val="0"/>
      <w:marRight w:val="0"/>
      <w:marTop w:val="0"/>
      <w:marBottom w:val="0"/>
      <w:divBdr>
        <w:top w:val="none" w:sz="0" w:space="0" w:color="auto"/>
        <w:left w:val="none" w:sz="0" w:space="0" w:color="auto"/>
        <w:bottom w:val="none" w:sz="0" w:space="0" w:color="auto"/>
        <w:right w:val="none" w:sz="0" w:space="0" w:color="auto"/>
      </w:divBdr>
    </w:div>
    <w:div w:id="1902594911">
      <w:bodyDiv w:val="1"/>
      <w:marLeft w:val="0"/>
      <w:marRight w:val="0"/>
      <w:marTop w:val="0"/>
      <w:marBottom w:val="0"/>
      <w:divBdr>
        <w:top w:val="none" w:sz="0" w:space="0" w:color="auto"/>
        <w:left w:val="none" w:sz="0" w:space="0" w:color="auto"/>
        <w:bottom w:val="none" w:sz="0" w:space="0" w:color="auto"/>
        <w:right w:val="none" w:sz="0" w:space="0" w:color="auto"/>
      </w:divBdr>
    </w:div>
    <w:div w:id="1957059673">
      <w:bodyDiv w:val="1"/>
      <w:marLeft w:val="0"/>
      <w:marRight w:val="0"/>
      <w:marTop w:val="0"/>
      <w:marBottom w:val="0"/>
      <w:divBdr>
        <w:top w:val="none" w:sz="0" w:space="0" w:color="auto"/>
        <w:left w:val="none" w:sz="0" w:space="0" w:color="auto"/>
        <w:bottom w:val="none" w:sz="0" w:space="0" w:color="auto"/>
        <w:right w:val="none" w:sz="0" w:space="0" w:color="auto"/>
      </w:divBdr>
    </w:div>
    <w:div w:id="2032216618">
      <w:bodyDiv w:val="1"/>
      <w:marLeft w:val="0"/>
      <w:marRight w:val="0"/>
      <w:marTop w:val="0"/>
      <w:marBottom w:val="0"/>
      <w:divBdr>
        <w:top w:val="none" w:sz="0" w:space="0" w:color="auto"/>
        <w:left w:val="none" w:sz="0" w:space="0" w:color="auto"/>
        <w:bottom w:val="none" w:sz="0" w:space="0" w:color="auto"/>
        <w:right w:val="none" w:sz="0" w:space="0" w:color="auto"/>
      </w:divBdr>
    </w:div>
    <w:div w:id="212796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7543AB86A64EAFADA69880A543FDD4"/>
        <w:category>
          <w:name w:val="General"/>
          <w:gallery w:val="placeholder"/>
        </w:category>
        <w:types>
          <w:type w:val="bbPlcHdr"/>
        </w:types>
        <w:behaviors>
          <w:behavior w:val="content"/>
        </w:behaviors>
        <w:guid w:val="{70728374-2DD1-4676-A3DE-1685D81ABD5F}"/>
      </w:docPartPr>
      <w:docPartBody>
        <w:p w:rsidR="00953EE9" w:rsidRDefault="00953EE9" w:rsidP="00953EE9">
          <w:pPr>
            <w:pStyle w:val="AB7543AB86A64EAFADA69880A543FDD4"/>
          </w:pPr>
          <w:r w:rsidRPr="003400A2">
            <w:rPr>
              <w:rStyle w:val="PlaceholderText"/>
            </w:rPr>
            <w:t>Choose an item.</w:t>
          </w:r>
        </w:p>
      </w:docPartBody>
    </w:docPart>
    <w:docPart>
      <w:docPartPr>
        <w:name w:val="64EFC1B58AFD4F8E9F1076B6B605A247"/>
        <w:category>
          <w:name w:val="General"/>
          <w:gallery w:val="placeholder"/>
        </w:category>
        <w:types>
          <w:type w:val="bbPlcHdr"/>
        </w:types>
        <w:behaviors>
          <w:behavior w:val="content"/>
        </w:behaviors>
        <w:guid w:val="{A7716F34-8CB9-4C33-8F31-FDE0D27AA6D7}"/>
      </w:docPartPr>
      <w:docPartBody>
        <w:p w:rsidR="00953EE9" w:rsidRDefault="00953EE9" w:rsidP="00953EE9">
          <w:pPr>
            <w:pStyle w:val="64EFC1B58AFD4F8E9F1076B6B605A247"/>
          </w:pPr>
          <w:r w:rsidRPr="003400A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6AD"/>
    <w:rsid w:val="002A6552"/>
    <w:rsid w:val="0046181D"/>
    <w:rsid w:val="004F784B"/>
    <w:rsid w:val="005A46AD"/>
    <w:rsid w:val="00696565"/>
    <w:rsid w:val="007A7796"/>
    <w:rsid w:val="00953EE9"/>
    <w:rsid w:val="00BF0551"/>
    <w:rsid w:val="00CB0DE2"/>
    <w:rsid w:val="00D50D12"/>
    <w:rsid w:val="00FC5F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1B2434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EE9"/>
    <w:rPr>
      <w:color w:val="808080"/>
    </w:rPr>
  </w:style>
  <w:style w:type="paragraph" w:customStyle="1" w:styleId="AB7543AB86A64EAFADA69880A543FDD4">
    <w:name w:val="AB7543AB86A64EAFADA69880A543FDD4"/>
    <w:rsid w:val="00953EE9"/>
    <w:pPr>
      <w:spacing w:after="0" w:line="240" w:lineRule="auto"/>
    </w:pPr>
    <w:rPr>
      <w:rFonts w:eastAsia="Times New Roman" w:cs="Arial"/>
      <w:sz w:val="20"/>
      <w:szCs w:val="20"/>
      <w:lang w:val="en-US" w:eastAsia="en-US"/>
    </w:rPr>
  </w:style>
  <w:style w:type="paragraph" w:customStyle="1" w:styleId="64EFC1B58AFD4F8E9F1076B6B605A247">
    <w:name w:val="64EFC1B58AFD4F8E9F1076B6B605A247"/>
    <w:rsid w:val="00953EE9"/>
    <w:pPr>
      <w:spacing w:after="0" w:line="240" w:lineRule="auto"/>
    </w:pPr>
    <w:rPr>
      <w:rFonts w:eastAsia="Times New Roman" w:cs="Arial"/>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EA02DB9F4D5438FAFEDAAF8703BE2" ma:contentTypeVersion="1" ma:contentTypeDescription="Create a new document." ma:contentTypeScope="" ma:versionID="421d502e3d2ec09487f200871b98e32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E2A146-908D-4F14-8109-5CF93997D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3C4BD-5100-4462-A54C-B6C3EDEBD6F0}">
  <ds:schemaRefs>
    <ds:schemaRef ds:uri="http://schemas.openxmlformats.org/officeDocument/2006/bibliography"/>
  </ds:schemaRefs>
</ds:datastoreItem>
</file>

<file path=customXml/itemProps3.xml><?xml version="1.0" encoding="utf-8"?>
<ds:datastoreItem xmlns:ds="http://schemas.openxmlformats.org/officeDocument/2006/customXml" ds:itemID="{C3C80BCF-EED9-43DF-8994-920E578B693C}">
  <ds:schemaRefs>
    <ds:schemaRef ds:uri="http://schemas.microsoft.com/sharepoint/v3/contenttype/forms"/>
  </ds:schemaRefs>
</ds:datastoreItem>
</file>

<file path=customXml/itemProps4.xml><?xml version="1.0" encoding="utf-8"?>
<ds:datastoreItem xmlns:ds="http://schemas.openxmlformats.org/officeDocument/2006/customXml" ds:itemID="{EE9E91AC-5F32-49F7-9A61-5D054DA6464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20</Pages>
  <Words>6193</Words>
  <Characters>37732</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DCP Template</vt:lpstr>
    </vt:vector>
  </TitlesOfParts>
  <Company>ICES</Company>
  <LinksUpToDate>false</LinksUpToDate>
  <CharactersWithSpaces>43838</CharactersWithSpaces>
  <SharedDoc>false</SharedDoc>
  <HLinks>
    <vt:vector size="18" baseType="variant">
      <vt:variant>
        <vt:i4>1114158</vt:i4>
      </vt:variant>
      <vt:variant>
        <vt:i4>6</vt:i4>
      </vt:variant>
      <vt:variant>
        <vt:i4>0</vt:i4>
      </vt:variant>
      <vt:variant>
        <vt:i4>5</vt:i4>
      </vt:variant>
      <vt:variant>
        <vt:lpwstr>mailto:nadia.gunraj@ices.on.ca</vt:lpwstr>
      </vt:variant>
      <vt:variant>
        <vt:lpwstr/>
      </vt:variant>
      <vt:variant>
        <vt:i4>4259954</vt:i4>
      </vt:variant>
      <vt:variant>
        <vt:i4>3</vt:i4>
      </vt:variant>
      <vt:variant>
        <vt:i4>0</vt:i4>
      </vt:variant>
      <vt:variant>
        <vt:i4>5</vt:i4>
      </vt:variant>
      <vt:variant>
        <vt:lpwstr>mailto:jacqueline.stevenson@ices.on.ca</vt:lpwstr>
      </vt:variant>
      <vt:variant>
        <vt:lpwstr/>
      </vt:variant>
      <vt:variant>
        <vt:i4>5767290</vt:i4>
      </vt:variant>
      <vt:variant>
        <vt:i4>0</vt:i4>
      </vt:variant>
      <vt:variant>
        <vt:i4>0</vt:i4>
      </vt:variant>
      <vt:variant>
        <vt:i4>5</vt:i4>
      </vt:variant>
      <vt:variant>
        <vt:lpwstr>mailto:susan.bronskill@ices.on.ca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Template</dc:title>
  <dc:creator>Nadia Gunraj</dc:creator>
  <cp:lastModifiedBy>Ishiguro, Lisa</cp:lastModifiedBy>
  <cp:revision>38</cp:revision>
  <cp:lastPrinted>2014-11-12T19:22:00Z</cp:lastPrinted>
  <dcterms:created xsi:type="dcterms:W3CDTF">2021-09-08T15:41:00Z</dcterms:created>
  <dcterms:modified xsi:type="dcterms:W3CDTF">2021-09-22T19:07:00Z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0x010100512EA02DB9F4D5438FAFEDAAF8703BE2</vt:lpwstr>
  </property>
</Properties>
</file>